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15D85">
      <w:pPr>
        <w:jc w:val="center"/>
        <w:rPr>
          <w:rFonts w:hint="eastAsia" w:ascii="宋体" w:hAnsi="宋体"/>
          <w:b/>
          <w:sz w:val="36"/>
          <w:szCs w:val="36"/>
          <w:lang w:val="en-US" w:eastAsia="zh-CN"/>
        </w:rPr>
      </w:pPr>
      <w:r>
        <w:rPr>
          <w:rFonts w:hint="eastAsia" w:ascii="宋体" w:hAnsi="宋体"/>
          <w:b/>
          <w:sz w:val="36"/>
          <w:szCs w:val="36"/>
          <w:lang w:val="en-US" w:eastAsia="zh-CN"/>
        </w:rPr>
        <w:t>中共黄山市委宣传部</w:t>
      </w:r>
    </w:p>
    <w:p w14:paraId="1685EE39">
      <w:pPr>
        <w:jc w:val="center"/>
        <w:rPr>
          <w:rFonts w:hint="eastAsia" w:ascii="宋体" w:hAnsi="宋体"/>
          <w:b/>
          <w:sz w:val="36"/>
          <w:szCs w:val="36"/>
        </w:rPr>
      </w:pPr>
      <w:r>
        <w:rPr>
          <w:rFonts w:hint="eastAsia" w:ascii="宋体" w:hAnsi="宋体"/>
          <w:b/>
          <w:sz w:val="36"/>
          <w:szCs w:val="36"/>
          <w:lang w:eastAsia="zh-CN"/>
        </w:rPr>
        <w:t>2021</w:t>
      </w:r>
      <w:r>
        <w:rPr>
          <w:rFonts w:ascii="宋体" w:hAnsi="宋体"/>
          <w:b/>
          <w:sz w:val="36"/>
          <w:szCs w:val="36"/>
        </w:rPr>
        <w:t>年</w:t>
      </w:r>
      <w:r>
        <w:rPr>
          <w:rFonts w:hint="eastAsia" w:ascii="宋体" w:hAnsi="宋体"/>
          <w:b/>
          <w:sz w:val="36"/>
          <w:szCs w:val="36"/>
        </w:rPr>
        <w:t>度一般公共预算财政拨款</w:t>
      </w:r>
    </w:p>
    <w:p w14:paraId="74291AA2">
      <w:pPr>
        <w:jc w:val="center"/>
        <w:rPr>
          <w:rFonts w:hint="eastAsia" w:ascii="宋体" w:hAnsi="宋体"/>
          <w:b/>
          <w:sz w:val="36"/>
          <w:szCs w:val="36"/>
        </w:rPr>
      </w:pP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63697D58">
      <w:pPr>
        <w:jc w:val="center"/>
        <w:rPr>
          <w:rFonts w:hint="eastAsia" w:ascii="楷体_GB2312" w:eastAsia="楷体_GB2312"/>
          <w:szCs w:val="32"/>
        </w:rPr>
      </w:pPr>
    </w:p>
    <w:p w14:paraId="15D544F3">
      <w:pPr>
        <w:adjustRightInd w:val="0"/>
        <w:snapToGrid w:val="0"/>
        <w:spacing w:line="360" w:lineRule="auto"/>
        <w:jc w:val="center"/>
        <w:rPr>
          <w:rFonts w:hint="eastAsia" w:ascii="宋体" w:hAnsi="宋体"/>
          <w:sz w:val="6"/>
          <w:szCs w:val="32"/>
        </w:rPr>
      </w:pPr>
    </w:p>
    <w:p w14:paraId="58651941">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一、</w:t>
      </w:r>
      <w:r>
        <w:rPr>
          <w:rFonts w:hint="eastAsia" w:ascii="黑体" w:hAnsi="黑体" w:eastAsia="黑体"/>
          <w:szCs w:val="32"/>
          <w:lang w:eastAsia="zh-CN"/>
        </w:rPr>
        <w:t>2021</w:t>
      </w:r>
      <w:r>
        <w:rPr>
          <w:rFonts w:hint="eastAsia" w:ascii="黑体" w:hAnsi="黑体" w:eastAsia="黑体"/>
          <w:szCs w:val="32"/>
        </w:rPr>
        <w:t>年度一般公共预算财政拨款“三公”经费支出决算表</w:t>
      </w:r>
    </w:p>
    <w:p w14:paraId="6F903CF5">
      <w:pPr>
        <w:ind w:firstLine="7216" w:firstLineChars="2298"/>
        <w:rPr>
          <w:rFonts w:hint="eastAsia" w:ascii="黑体" w:hAnsi="黑体" w:eastAsia="黑体"/>
          <w:szCs w:val="32"/>
        </w:rPr>
      </w:pPr>
      <w:r>
        <w:rPr>
          <w:rFonts w:hint="eastAsia" w:ascii="仿宋_GB2312" w:hAnsi="仿宋_GB2312" w:cs="仿宋_GB2312"/>
          <w:szCs w:val="32"/>
        </w:rPr>
        <w:t>单位：万元</w:t>
      </w:r>
    </w:p>
    <w:tbl>
      <w:tblPr>
        <w:tblStyle w:val="6"/>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55C36DBC">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11DE1FE0">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79C295B4">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6E6FFAE2">
            <w:pPr>
              <w:widowControl/>
              <w:jc w:val="center"/>
              <w:rPr>
                <w:rFonts w:ascii="宋体" w:hAnsi="宋体" w:cs="宋体"/>
                <w:b/>
                <w:bCs/>
                <w:kern w:val="0"/>
                <w:szCs w:val="21"/>
              </w:rPr>
            </w:pPr>
            <w:r>
              <w:rPr>
                <w:rFonts w:hint="eastAsia" w:ascii="宋体" w:hAnsi="宋体" w:cs="宋体"/>
                <w:b/>
                <w:bCs/>
                <w:kern w:val="0"/>
                <w:szCs w:val="21"/>
              </w:rPr>
              <w:t>决 算 数</w:t>
            </w:r>
          </w:p>
        </w:tc>
      </w:tr>
      <w:tr w14:paraId="6B32FE94">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496694AE">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noWrap w:val="0"/>
            <w:vAlign w:val="center"/>
          </w:tcPr>
          <w:p w14:paraId="54E0419E">
            <w:pPr>
              <w:widowControl/>
              <w:jc w:val="center"/>
              <w:rPr>
                <w:rFonts w:ascii="宋体" w:hAnsi="宋体" w:cs="宋体"/>
                <w:b/>
                <w:bCs/>
                <w:kern w:val="0"/>
                <w:szCs w:val="21"/>
              </w:rPr>
            </w:pPr>
            <w:r>
              <w:rPr>
                <w:rFonts w:hint="eastAsia" w:ascii="宋体" w:hAnsi="宋体" w:cs="宋体"/>
                <w:b/>
                <w:bCs/>
                <w:kern w:val="0"/>
                <w:szCs w:val="21"/>
              </w:rPr>
              <w:t>21.97</w:t>
            </w:r>
          </w:p>
        </w:tc>
        <w:tc>
          <w:tcPr>
            <w:tcW w:w="2220" w:type="dxa"/>
            <w:tcBorders>
              <w:top w:val="nil"/>
              <w:left w:val="nil"/>
              <w:bottom w:val="single" w:color="auto" w:sz="4" w:space="0"/>
              <w:right w:val="single" w:color="auto" w:sz="4" w:space="0"/>
            </w:tcBorders>
            <w:noWrap w:val="0"/>
            <w:vAlign w:val="center"/>
          </w:tcPr>
          <w:p w14:paraId="6822A021">
            <w:pPr>
              <w:widowControl/>
              <w:jc w:val="center"/>
              <w:rPr>
                <w:rFonts w:ascii="宋体" w:hAnsi="宋体" w:cs="宋体"/>
                <w:b/>
                <w:bCs/>
                <w:kern w:val="0"/>
                <w:szCs w:val="21"/>
              </w:rPr>
            </w:pPr>
            <w:r>
              <w:rPr>
                <w:rFonts w:hint="eastAsia" w:ascii="宋体" w:hAnsi="宋体" w:cs="宋体"/>
                <w:b/>
                <w:bCs/>
                <w:kern w:val="0"/>
                <w:szCs w:val="21"/>
              </w:rPr>
              <w:t>5.85</w:t>
            </w:r>
          </w:p>
        </w:tc>
      </w:tr>
      <w:tr w14:paraId="521AC035">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1B777540">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19FDF276">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0.00</w:t>
            </w:r>
          </w:p>
        </w:tc>
        <w:tc>
          <w:tcPr>
            <w:tcW w:w="2220" w:type="dxa"/>
            <w:tcBorders>
              <w:top w:val="nil"/>
              <w:left w:val="nil"/>
              <w:bottom w:val="single" w:color="auto" w:sz="4" w:space="0"/>
              <w:right w:val="single" w:color="auto" w:sz="4" w:space="0"/>
            </w:tcBorders>
            <w:noWrap w:val="0"/>
            <w:vAlign w:val="bottom"/>
          </w:tcPr>
          <w:p w14:paraId="29D073CC">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0.00</w:t>
            </w:r>
          </w:p>
        </w:tc>
      </w:tr>
      <w:tr w14:paraId="6F2711EF">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1FADF282">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noWrap w:val="0"/>
            <w:vAlign w:val="bottom"/>
          </w:tcPr>
          <w:p w14:paraId="555B3C86">
            <w:pPr>
              <w:widowControl/>
              <w:jc w:val="center"/>
              <w:rPr>
                <w:rFonts w:ascii="宋体" w:hAnsi="宋体" w:cs="宋体"/>
                <w:kern w:val="0"/>
                <w:szCs w:val="21"/>
              </w:rPr>
            </w:pPr>
            <w:r>
              <w:rPr>
                <w:rFonts w:hint="eastAsia" w:ascii="宋体" w:hAnsi="宋体" w:cs="宋体"/>
                <w:kern w:val="0"/>
                <w:szCs w:val="21"/>
              </w:rPr>
              <w:t>21.97</w:t>
            </w:r>
          </w:p>
        </w:tc>
        <w:tc>
          <w:tcPr>
            <w:tcW w:w="2220" w:type="dxa"/>
            <w:tcBorders>
              <w:top w:val="nil"/>
              <w:left w:val="nil"/>
              <w:bottom w:val="single" w:color="auto" w:sz="4" w:space="0"/>
              <w:right w:val="single" w:color="auto" w:sz="4" w:space="0"/>
            </w:tcBorders>
            <w:noWrap w:val="0"/>
            <w:vAlign w:val="bottom"/>
          </w:tcPr>
          <w:p w14:paraId="180FD512">
            <w:pPr>
              <w:widowControl/>
              <w:jc w:val="center"/>
              <w:rPr>
                <w:rFonts w:ascii="宋体" w:hAnsi="宋体" w:cs="宋体"/>
                <w:kern w:val="0"/>
                <w:szCs w:val="21"/>
              </w:rPr>
            </w:pPr>
            <w:r>
              <w:rPr>
                <w:rFonts w:hint="eastAsia" w:ascii="宋体" w:hAnsi="宋体" w:cs="宋体"/>
                <w:kern w:val="0"/>
                <w:szCs w:val="21"/>
              </w:rPr>
              <w:t>5.85</w:t>
            </w:r>
          </w:p>
        </w:tc>
      </w:tr>
      <w:tr w14:paraId="70793B3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7837E779">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14:paraId="019FE1C1">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0.00</w:t>
            </w:r>
          </w:p>
        </w:tc>
        <w:tc>
          <w:tcPr>
            <w:tcW w:w="2220" w:type="dxa"/>
            <w:tcBorders>
              <w:top w:val="nil"/>
              <w:left w:val="nil"/>
              <w:bottom w:val="single" w:color="auto" w:sz="4" w:space="0"/>
              <w:right w:val="single" w:color="auto" w:sz="4" w:space="0"/>
            </w:tcBorders>
            <w:noWrap w:val="0"/>
            <w:vAlign w:val="bottom"/>
          </w:tcPr>
          <w:p w14:paraId="2E3FB4DC">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0.00</w:t>
            </w:r>
          </w:p>
        </w:tc>
      </w:tr>
      <w:tr w14:paraId="3CA16BD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5D113CB2">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noWrap w:val="0"/>
            <w:vAlign w:val="bottom"/>
          </w:tcPr>
          <w:p w14:paraId="3708A6A1">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0.00</w:t>
            </w:r>
          </w:p>
        </w:tc>
        <w:tc>
          <w:tcPr>
            <w:tcW w:w="2220" w:type="dxa"/>
            <w:tcBorders>
              <w:top w:val="nil"/>
              <w:left w:val="nil"/>
              <w:bottom w:val="single" w:color="auto" w:sz="4" w:space="0"/>
              <w:right w:val="single" w:color="auto" w:sz="4" w:space="0"/>
            </w:tcBorders>
            <w:noWrap w:val="0"/>
            <w:vAlign w:val="bottom"/>
          </w:tcPr>
          <w:p w14:paraId="31FA71D2">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0.00</w:t>
            </w:r>
          </w:p>
        </w:tc>
      </w:tr>
      <w:tr w14:paraId="0F5E421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4B63C169">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noWrap w:val="0"/>
            <w:vAlign w:val="bottom"/>
          </w:tcPr>
          <w:p w14:paraId="2973F000">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0.00</w:t>
            </w:r>
          </w:p>
        </w:tc>
        <w:tc>
          <w:tcPr>
            <w:tcW w:w="2220" w:type="dxa"/>
            <w:tcBorders>
              <w:top w:val="nil"/>
              <w:left w:val="nil"/>
              <w:bottom w:val="single" w:color="auto" w:sz="4" w:space="0"/>
              <w:right w:val="single" w:color="auto" w:sz="4" w:space="0"/>
            </w:tcBorders>
            <w:noWrap w:val="0"/>
            <w:vAlign w:val="bottom"/>
          </w:tcPr>
          <w:p w14:paraId="1ACE13E1">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0.00</w:t>
            </w:r>
          </w:p>
        </w:tc>
      </w:tr>
    </w:tbl>
    <w:p w14:paraId="287294CD">
      <w:pPr>
        <w:ind w:firstLine="628" w:firstLineChars="200"/>
        <w:rPr>
          <w:rFonts w:hint="eastAsia" w:ascii="黑体" w:hAnsi="黑体" w:eastAsia="黑体"/>
          <w:szCs w:val="32"/>
        </w:rPr>
      </w:pPr>
      <w:r>
        <w:rPr>
          <w:rFonts w:hint="eastAsia" w:ascii="黑体" w:hAnsi="黑体" w:eastAsia="黑体"/>
          <w:szCs w:val="32"/>
        </w:rPr>
        <w:t xml:space="preserve">                                      </w:t>
      </w:r>
    </w:p>
    <w:p w14:paraId="14CB8844">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2021</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15D91B12">
      <w:pPr>
        <w:ind w:firstLine="628"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28AB7C37">
      <w:pPr>
        <w:ind w:firstLine="628" w:firstLineChars="200"/>
        <w:rPr>
          <w:rFonts w:hint="eastAsia" w:ascii="楷体_GB2312" w:hAnsi="仿宋" w:eastAsia="楷体_GB2312"/>
          <w:color w:val="C00000"/>
          <w:szCs w:val="32"/>
        </w:rPr>
      </w:pPr>
      <w:r>
        <w:rPr>
          <w:rFonts w:hint="eastAsia" w:ascii="仿宋_GB2312" w:hAnsi="仿宋"/>
          <w:szCs w:val="32"/>
          <w:lang w:val="en-US" w:eastAsia="zh-CN"/>
        </w:rPr>
        <w:t>中共黄山市委宣传部</w:t>
      </w:r>
      <w:r>
        <w:rPr>
          <w:rFonts w:hint="eastAsia" w:ascii="仿宋_GB2312" w:hAnsi="仿宋"/>
          <w:szCs w:val="32"/>
          <w:lang w:eastAsia="zh-CN"/>
        </w:rPr>
        <w:t>2021</w:t>
      </w:r>
      <w:r>
        <w:rPr>
          <w:rFonts w:hint="eastAsia" w:ascii="仿宋_GB2312" w:hAnsi="仿宋"/>
          <w:szCs w:val="32"/>
        </w:rPr>
        <w:t>年度一般公共预算财政拨款“三公”经费支出预算为</w:t>
      </w:r>
      <w:r>
        <w:rPr>
          <w:rFonts w:hint="eastAsia" w:ascii="仿宋_GB2312" w:hAnsi="仿宋"/>
          <w:szCs w:val="32"/>
          <w:lang w:val="en-US" w:eastAsia="zh-CN"/>
        </w:rPr>
        <w:t>21.97</w:t>
      </w:r>
      <w:r>
        <w:rPr>
          <w:rFonts w:hint="eastAsia" w:ascii="仿宋_GB2312" w:hAnsi="仿宋"/>
          <w:szCs w:val="32"/>
        </w:rPr>
        <w:t>万元，支出决算为</w:t>
      </w:r>
      <w:r>
        <w:rPr>
          <w:rFonts w:hint="eastAsia" w:ascii="仿宋_GB2312" w:hAnsi="仿宋"/>
          <w:szCs w:val="32"/>
          <w:lang w:val="en-US" w:eastAsia="zh-CN"/>
        </w:rPr>
        <w:t>5.85</w:t>
      </w:r>
      <w:r>
        <w:rPr>
          <w:rFonts w:hint="eastAsia" w:ascii="仿宋_GB2312" w:hAnsi="仿宋"/>
          <w:szCs w:val="32"/>
        </w:rPr>
        <w:t>万元，完成预算的</w:t>
      </w:r>
      <w:r>
        <w:rPr>
          <w:rFonts w:hint="eastAsia" w:ascii="仿宋_GB2312" w:hAnsi="仿宋"/>
          <w:szCs w:val="32"/>
          <w:lang w:val="en-US" w:eastAsia="zh-CN"/>
        </w:rPr>
        <w:t>26.63</w:t>
      </w:r>
      <w:r>
        <w:rPr>
          <w:rFonts w:hint="eastAsia" w:ascii="仿宋_GB2312" w:hAnsi="仿宋"/>
          <w:szCs w:val="32"/>
        </w:rPr>
        <w:t>%，决算数</w:t>
      </w:r>
      <w:r>
        <w:rPr>
          <w:rFonts w:hint="eastAsia" w:ascii="仿宋_GB2312" w:hAnsi="仿宋"/>
          <w:szCs w:val="32"/>
          <w:lang w:val="en-US" w:eastAsia="zh-CN"/>
        </w:rPr>
        <w:t>小于</w:t>
      </w:r>
      <w:r>
        <w:rPr>
          <w:rFonts w:hint="eastAsia" w:ascii="仿宋_GB2312" w:hAnsi="仿宋"/>
          <w:szCs w:val="32"/>
        </w:rPr>
        <w:t>预算数的主要原因是严格执行国内公务接待相关规定控制经费支出。为全面反映“三公”经费支出，本次公布的“三公”经费决算为部门汇总数，包含单位本级和所属单位。</w:t>
      </w:r>
    </w:p>
    <w:p w14:paraId="5B561309">
      <w:pPr>
        <w:ind w:firstLine="628"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12FB76EC">
      <w:pPr>
        <w:ind w:firstLine="628" w:firstLineChars="200"/>
        <w:rPr>
          <w:rFonts w:hint="eastAsia" w:ascii="仿宋_GB2312" w:hAnsi="仿宋"/>
          <w:szCs w:val="32"/>
        </w:rPr>
      </w:pPr>
      <w:r>
        <w:rPr>
          <w:rFonts w:hint="eastAsia" w:ascii="仿宋_GB2312" w:hAnsi="仿宋"/>
          <w:szCs w:val="32"/>
          <w:lang w:val="en-US" w:eastAsia="zh-CN"/>
        </w:rPr>
        <w:t>中共黄山市委宣传部</w:t>
      </w:r>
      <w:r>
        <w:rPr>
          <w:rFonts w:hint="eastAsia" w:ascii="仿宋_GB2312" w:hAnsi="仿宋"/>
          <w:szCs w:val="32"/>
          <w:lang w:eastAsia="zh-CN"/>
        </w:rPr>
        <w:t>2021</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5.85</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591A4075">
      <w:pPr>
        <w:ind w:firstLine="628"/>
        <w:rPr>
          <w:rFonts w:hint="eastAsia" w:ascii="仿宋_GB2312" w:hAnsi="仿宋"/>
          <w:szCs w:val="32"/>
        </w:rPr>
      </w:pPr>
      <w:r>
        <w:rPr>
          <w:rFonts w:hint="eastAsia" w:ascii="仿宋_GB2312" w:hAnsi="仿宋"/>
          <w:b/>
          <w:bCs/>
          <w:szCs w:val="32"/>
        </w:rPr>
        <w:t>1.因公出国（境）费支出</w:t>
      </w:r>
      <w:r>
        <w:rPr>
          <w:rFonts w:hint="eastAsia" w:ascii="仿宋_GB2312" w:hAnsi="仿宋"/>
          <w:szCs w:val="32"/>
          <w:lang w:val="en-US" w:eastAsia="zh-CN"/>
        </w:rPr>
        <w:t>0</w:t>
      </w:r>
      <w:r>
        <w:rPr>
          <w:rFonts w:hint="eastAsia" w:ascii="仿宋_GB2312" w:hAnsi="仿宋"/>
          <w:szCs w:val="32"/>
        </w:rPr>
        <w:t>万元，与</w:t>
      </w:r>
      <w:r>
        <w:rPr>
          <w:rFonts w:hint="eastAsia" w:ascii="仿宋_GB2312" w:hAnsi="仿宋"/>
          <w:szCs w:val="32"/>
          <w:lang w:eastAsia="zh-CN"/>
        </w:rPr>
        <w:t>2021</w:t>
      </w:r>
      <w:r>
        <w:rPr>
          <w:rFonts w:hint="eastAsia" w:ascii="仿宋_GB2312" w:hAnsi="仿宋"/>
          <w:szCs w:val="32"/>
        </w:rPr>
        <w:t>年度预算相比，减少（增加）</w:t>
      </w:r>
      <w:r>
        <w:rPr>
          <w:rFonts w:hint="eastAsia" w:ascii="仿宋_GB2312" w:hAnsi="仿宋"/>
          <w:szCs w:val="32"/>
          <w:lang w:val="en-US" w:eastAsia="zh-CN"/>
        </w:rPr>
        <w:t>0</w:t>
      </w:r>
      <w:r>
        <w:rPr>
          <w:rFonts w:hint="eastAsia" w:ascii="仿宋_GB2312" w:hAnsi="仿宋"/>
          <w:szCs w:val="32"/>
        </w:rPr>
        <w:t>万元，下降（增长）</w:t>
      </w:r>
      <w:r>
        <w:rPr>
          <w:rFonts w:hint="eastAsia" w:ascii="仿宋_GB2312" w:hAnsi="仿宋"/>
          <w:szCs w:val="32"/>
          <w:lang w:val="en-US" w:eastAsia="zh-CN"/>
        </w:rPr>
        <w:t>0</w:t>
      </w:r>
      <w:r>
        <w:rPr>
          <w:rFonts w:hint="eastAsia" w:ascii="仿宋_GB2312" w:hAnsi="仿宋"/>
          <w:szCs w:val="32"/>
        </w:rPr>
        <w:t xml:space="preserve">%。经费使用严格按照《黄山市财政局 黄山市政府外事办公室关于转发&lt;安徽省省直党政机关因公临时出国经费管理办法&gt;的通知》（黄财行〔2014〕68号）、《黄山市财政局 黄山市人力资源和社会保障局转发&lt;安徽省省直党政机关因公短期出国培训费用管理办法&gt;的通知》（黄财社〔2014〕262号）相关规定执行。 </w:t>
      </w:r>
    </w:p>
    <w:p w14:paraId="16650386">
      <w:pPr>
        <w:ind w:firstLine="628" w:firstLineChars="200"/>
        <w:rPr>
          <w:rFonts w:hint="eastAsia" w:ascii="仿宋_GB2312" w:hAnsi="仿宋"/>
          <w:szCs w:val="32"/>
        </w:rPr>
      </w:pPr>
      <w:r>
        <w:rPr>
          <w:rFonts w:hint="eastAsia" w:ascii="仿宋_GB2312" w:hAnsi="仿宋"/>
          <w:b/>
          <w:bCs/>
          <w:szCs w:val="32"/>
        </w:rPr>
        <w:t>2.公务接待费支出</w:t>
      </w:r>
      <w:r>
        <w:rPr>
          <w:rFonts w:hint="eastAsia" w:ascii="仿宋_GB2312" w:hAnsi="仿宋"/>
          <w:szCs w:val="32"/>
          <w:lang w:val="en-US" w:eastAsia="zh-CN"/>
        </w:rPr>
        <w:t>5.85</w:t>
      </w:r>
      <w:r>
        <w:rPr>
          <w:rFonts w:hint="eastAsia" w:ascii="仿宋_GB2312" w:hAnsi="仿宋"/>
          <w:szCs w:val="32"/>
        </w:rPr>
        <w:t>万元, 与</w:t>
      </w:r>
      <w:r>
        <w:rPr>
          <w:rFonts w:hint="eastAsia" w:ascii="仿宋_GB2312" w:hAnsi="仿宋"/>
          <w:szCs w:val="32"/>
          <w:lang w:eastAsia="zh-CN"/>
        </w:rPr>
        <w:t>2021</w:t>
      </w:r>
      <w:r>
        <w:rPr>
          <w:rFonts w:hint="eastAsia" w:ascii="仿宋_GB2312" w:hAnsi="仿宋"/>
          <w:szCs w:val="32"/>
        </w:rPr>
        <w:t>年度预算相比，减少</w:t>
      </w:r>
      <w:r>
        <w:rPr>
          <w:rFonts w:hint="eastAsia" w:ascii="仿宋_GB2312" w:hAnsi="仿宋"/>
          <w:szCs w:val="32"/>
          <w:lang w:val="en-US" w:eastAsia="zh-CN"/>
        </w:rPr>
        <w:t>16.12</w:t>
      </w:r>
      <w:r>
        <w:rPr>
          <w:rFonts w:hint="eastAsia" w:ascii="仿宋_GB2312" w:hAnsi="仿宋"/>
          <w:szCs w:val="32"/>
        </w:rPr>
        <w:t>万元，下降</w:t>
      </w:r>
      <w:r>
        <w:rPr>
          <w:rFonts w:hint="eastAsia" w:ascii="仿宋_GB2312" w:hAnsi="仿宋"/>
          <w:szCs w:val="32"/>
          <w:lang w:val="en-US" w:eastAsia="zh-CN"/>
        </w:rPr>
        <w:t>73.37</w:t>
      </w:r>
      <w:r>
        <w:rPr>
          <w:rFonts w:hint="eastAsia" w:ascii="仿宋_GB2312" w:hAnsi="仿宋"/>
          <w:szCs w:val="32"/>
        </w:rPr>
        <w:t>%，下降的原因是严格执行国内公务接待相关规定控制经费支出。</w:t>
      </w:r>
      <w:r>
        <w:rPr>
          <w:rFonts w:hint="eastAsia" w:ascii="仿宋_GB2312" w:hAnsi="仿宋"/>
          <w:szCs w:val="32"/>
          <w:lang w:eastAsia="zh-CN"/>
        </w:rPr>
        <w:t>2021</w:t>
      </w:r>
      <w:r>
        <w:rPr>
          <w:rFonts w:hint="eastAsia" w:ascii="仿宋_GB2312" w:hAnsi="仿宋"/>
          <w:szCs w:val="32"/>
        </w:rPr>
        <w:t>年</w:t>
      </w:r>
      <w:r>
        <w:rPr>
          <w:rFonts w:hint="eastAsia" w:ascii="仿宋_GB2312" w:hAnsi="仿宋"/>
          <w:szCs w:val="32"/>
          <w:lang w:val="en-US" w:eastAsia="zh-CN"/>
        </w:rPr>
        <w:t>中共黄山市委宣传部</w:t>
      </w:r>
      <w:r>
        <w:rPr>
          <w:rFonts w:hint="eastAsia" w:ascii="仿宋_GB2312" w:hAnsi="仿宋"/>
          <w:szCs w:val="32"/>
        </w:rPr>
        <w:t>国内公务接待共</w:t>
      </w:r>
      <w:r>
        <w:rPr>
          <w:rFonts w:hint="eastAsia" w:ascii="仿宋_GB2312" w:hAnsi="仿宋"/>
          <w:szCs w:val="32"/>
          <w:lang w:val="en-US" w:eastAsia="zh-CN"/>
        </w:rPr>
        <w:t>98</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901</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人次）。主要是用于本部门完成日常工作任务、特定行政任务和事业发展目标所发生的公务接待。</w:t>
      </w:r>
      <w:r>
        <w:rPr>
          <w:rFonts w:hint="eastAsia" w:ascii="仿宋_GB2312" w:hAnsi="仿宋"/>
          <w:szCs w:val="32"/>
          <w:lang w:val="en-US" w:eastAsia="zh-CN"/>
        </w:rPr>
        <w:t>经</w:t>
      </w:r>
      <w:r>
        <w:rPr>
          <w:rFonts w:hint="eastAsia" w:ascii="仿宋_GB2312" w:hAnsi="仿宋"/>
          <w:szCs w:val="32"/>
        </w:rPr>
        <w:t>费使用贯彻中央八项规定</w:t>
      </w:r>
      <w:bookmarkStart w:id="0" w:name="_GoBack"/>
      <w:bookmarkEnd w:id="0"/>
      <w:r>
        <w:rPr>
          <w:rFonts w:hint="eastAsia" w:ascii="仿宋_GB2312" w:hAnsi="仿宋"/>
          <w:szCs w:val="32"/>
        </w:rPr>
        <w:t>和省委省政府30条要求，严格执行《党政机关厉行节约反对浪费条例》、《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p>
    <w:p w14:paraId="2D993EAA">
      <w:pPr>
        <w:ind w:firstLine="628" w:firstLineChars="200"/>
        <w:rPr>
          <w:rFonts w:hint="eastAsia"/>
        </w:rPr>
      </w:pPr>
      <w:r>
        <w:rPr>
          <w:rFonts w:hint="eastAsia" w:ascii="仿宋_GB2312" w:hAnsi="仿宋"/>
          <w:b/>
          <w:bCs/>
          <w:szCs w:val="32"/>
        </w:rPr>
        <w:t>3.公务用车购置及运行维护费支出</w:t>
      </w:r>
      <w:r>
        <w:rPr>
          <w:rFonts w:hint="eastAsia" w:ascii="仿宋_GB2312" w:hAnsi="仿宋"/>
          <w:szCs w:val="32"/>
          <w:lang w:val="en-US" w:eastAsia="zh-CN"/>
        </w:rPr>
        <w:t>0</w:t>
      </w:r>
      <w:r>
        <w:rPr>
          <w:rFonts w:hint="eastAsia" w:ascii="仿宋_GB2312" w:hAnsi="仿宋"/>
          <w:szCs w:val="32"/>
        </w:rPr>
        <w:t>万元，与</w:t>
      </w:r>
      <w:r>
        <w:rPr>
          <w:rFonts w:hint="eastAsia" w:ascii="仿宋_GB2312" w:hAnsi="仿宋"/>
          <w:szCs w:val="32"/>
          <w:lang w:eastAsia="zh-CN"/>
        </w:rPr>
        <w:t>2021</w:t>
      </w:r>
      <w:r>
        <w:rPr>
          <w:rFonts w:hint="eastAsia" w:ascii="仿宋_GB2312" w:hAnsi="仿宋"/>
          <w:szCs w:val="32"/>
        </w:rPr>
        <w:t>年度预算相比，减少（增加）0万元，下降（增长）0%。截至202</w:t>
      </w:r>
      <w:r>
        <w:rPr>
          <w:rFonts w:hint="eastAsia" w:ascii="仿宋_GB2312" w:hAnsi="仿宋"/>
          <w:szCs w:val="32"/>
          <w:lang w:val="en-US" w:eastAsia="zh-CN"/>
        </w:rPr>
        <w:t>1</w:t>
      </w:r>
      <w:r>
        <w:rPr>
          <w:rFonts w:hint="eastAsia" w:ascii="仿宋_GB2312" w:hAnsi="仿宋"/>
          <w:szCs w:val="32"/>
        </w:rPr>
        <w:t>年12月31日，中共黄山市委宣传机关及所属单位开支财政拨款的公务用车保有量为0辆。</w:t>
      </w:r>
    </w:p>
    <w:p w14:paraId="74BDC34F">
      <w:pPr>
        <w:pStyle w:val="2"/>
        <w:ind w:left="1258" w:hanging="1258"/>
        <w:jc w:val="both"/>
        <w:rPr>
          <w:rFonts w:hint="eastAsia" w:ascii="仿宋_GB2312" w:eastAsia="仿宋_GB2312"/>
          <w:sz w:val="32"/>
        </w:rPr>
      </w:pPr>
    </w:p>
    <w:p w14:paraId="6452EA48">
      <w:pPr>
        <w:pStyle w:val="2"/>
        <w:ind w:left="1258" w:hanging="1258"/>
        <w:jc w:val="both"/>
        <w:rPr>
          <w:rFonts w:hint="eastAsia" w:ascii="仿宋_GB2312" w:eastAsia="仿宋_GB2312"/>
          <w:sz w:val="32"/>
        </w:rPr>
      </w:pPr>
    </w:p>
    <w:p w14:paraId="28127B2E">
      <w:pPr>
        <w:pStyle w:val="2"/>
        <w:jc w:val="both"/>
        <w:rPr>
          <w:rFonts w:hint="eastAsia"/>
        </w:rPr>
      </w:pPr>
    </w:p>
    <w:p w14:paraId="1136F8CE"/>
    <w:sectPr>
      <w:footerReference r:id="rId3" w:type="default"/>
      <w:footerReference r:id="rId4" w:type="even"/>
      <w:pgSz w:w="11906" w:h="16838"/>
      <w:pgMar w:top="2155" w:right="1531" w:bottom="1588" w:left="1588" w:header="0" w:footer="1588" w:gutter="0"/>
      <w:pgBorders>
        <w:top w:val="none" w:sz="0" w:space="0"/>
        <w:left w:val="none" w:sz="0" w:space="0"/>
        <w:bottom w:val="none" w:sz="0" w:space="0"/>
        <w:right w:val="none" w:sz="0" w:space="0"/>
      </w:pgBorders>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58625">
    <w:pPr>
      <w:pStyle w:val="3"/>
      <w:framePr w:wrap="around" w:vAnchor="text" w:hAnchor="margin" w:xAlign="right" w:y="1"/>
      <w:rPr>
        <w:rStyle w:val="8"/>
        <w:rFonts w:ascii="仿宋_GB2312"/>
        <w:sz w:val="28"/>
      </w:rPr>
    </w:pPr>
    <w:r>
      <w:rPr>
        <w:rStyle w:val="8"/>
        <w:rFonts w:hint="eastAsia" w:ascii="仿宋_GB2312"/>
        <w:sz w:val="28"/>
      </w:rPr>
      <w:t>-</w:t>
    </w:r>
    <w:r>
      <w:rPr>
        <w:rFonts w:hint="eastAsia" w:ascii="仿宋_GB2312"/>
        <w:sz w:val="28"/>
        <w:szCs w:val="28"/>
      </w:rPr>
      <w:fldChar w:fldCharType="begin"/>
    </w:r>
    <w:r>
      <w:rPr>
        <w:rStyle w:val="8"/>
        <w:rFonts w:hint="eastAsia" w:ascii="仿宋_GB2312"/>
        <w:sz w:val="28"/>
        <w:szCs w:val="28"/>
      </w:rPr>
      <w:instrText xml:space="preserve"> PAGE </w:instrText>
    </w:r>
    <w:r>
      <w:rPr>
        <w:rFonts w:hint="eastAsia" w:ascii="仿宋_GB2312"/>
        <w:sz w:val="28"/>
        <w:szCs w:val="28"/>
      </w:rPr>
      <w:fldChar w:fldCharType="separate"/>
    </w:r>
    <w:r>
      <w:rPr>
        <w:rStyle w:val="8"/>
        <w:rFonts w:ascii="仿宋_GB2312"/>
        <w:sz w:val="28"/>
        <w:szCs w:val="28"/>
      </w:rPr>
      <w:t>50</w:t>
    </w:r>
    <w:r>
      <w:rPr>
        <w:rFonts w:hint="eastAsia" w:ascii="仿宋_GB2312"/>
        <w:sz w:val="28"/>
        <w:szCs w:val="28"/>
      </w:rPr>
      <w:fldChar w:fldCharType="end"/>
    </w:r>
    <w:r>
      <w:rPr>
        <w:rStyle w:val="8"/>
        <w:rFonts w:hint="eastAsia" w:ascii="仿宋_GB2312"/>
        <w:sz w:val="28"/>
        <w:szCs w:val="28"/>
      </w:rPr>
      <w:t>-</w:t>
    </w:r>
  </w:p>
  <w:p w14:paraId="03728FA0">
    <w:pPr>
      <w:pStyle w:val="3"/>
      <w:ind w:right="360"/>
      <w:jc w:val="righ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4A7E0">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14:paraId="507932E6">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493536E6"/>
    <w:rsid w:val="01756105"/>
    <w:rsid w:val="02AC1352"/>
    <w:rsid w:val="03AC7D7B"/>
    <w:rsid w:val="076A7872"/>
    <w:rsid w:val="081473CE"/>
    <w:rsid w:val="084D6BC7"/>
    <w:rsid w:val="08AF5347"/>
    <w:rsid w:val="09092ECE"/>
    <w:rsid w:val="09B0451F"/>
    <w:rsid w:val="0B2029B6"/>
    <w:rsid w:val="0C9E617B"/>
    <w:rsid w:val="0E2772E2"/>
    <w:rsid w:val="0E6C75F5"/>
    <w:rsid w:val="0EC1631D"/>
    <w:rsid w:val="0F2C6214"/>
    <w:rsid w:val="14886236"/>
    <w:rsid w:val="1A1F3008"/>
    <w:rsid w:val="1A9A19B6"/>
    <w:rsid w:val="1BC97D3B"/>
    <w:rsid w:val="1CBF1617"/>
    <w:rsid w:val="2019332E"/>
    <w:rsid w:val="20C37D47"/>
    <w:rsid w:val="2116462E"/>
    <w:rsid w:val="24F60375"/>
    <w:rsid w:val="25F464C9"/>
    <w:rsid w:val="266D620A"/>
    <w:rsid w:val="27D56B27"/>
    <w:rsid w:val="2ADF7041"/>
    <w:rsid w:val="2D00425B"/>
    <w:rsid w:val="2E9E5271"/>
    <w:rsid w:val="305F1A1A"/>
    <w:rsid w:val="30903FC3"/>
    <w:rsid w:val="30A11BEE"/>
    <w:rsid w:val="333B1E9B"/>
    <w:rsid w:val="33744BD7"/>
    <w:rsid w:val="33A03224"/>
    <w:rsid w:val="343A2339"/>
    <w:rsid w:val="3595581D"/>
    <w:rsid w:val="38C216EC"/>
    <w:rsid w:val="38CA1D69"/>
    <w:rsid w:val="393E748B"/>
    <w:rsid w:val="39843E2D"/>
    <w:rsid w:val="3AE97F71"/>
    <w:rsid w:val="3C453ECF"/>
    <w:rsid w:val="3D98433D"/>
    <w:rsid w:val="419037F9"/>
    <w:rsid w:val="41EB2D3A"/>
    <w:rsid w:val="493536E6"/>
    <w:rsid w:val="49541512"/>
    <w:rsid w:val="4A20088A"/>
    <w:rsid w:val="4C0B64BF"/>
    <w:rsid w:val="4C7B2049"/>
    <w:rsid w:val="4CDE6085"/>
    <w:rsid w:val="4D5E2D2F"/>
    <w:rsid w:val="50E94133"/>
    <w:rsid w:val="52A93207"/>
    <w:rsid w:val="567C3043"/>
    <w:rsid w:val="59C41AF9"/>
    <w:rsid w:val="5C210B18"/>
    <w:rsid w:val="5EE51DD1"/>
    <w:rsid w:val="5F273851"/>
    <w:rsid w:val="6178354E"/>
    <w:rsid w:val="63E54468"/>
    <w:rsid w:val="66D70ECC"/>
    <w:rsid w:val="67C31DBD"/>
    <w:rsid w:val="69ED6F02"/>
    <w:rsid w:val="6AD95132"/>
    <w:rsid w:val="6B6B179C"/>
    <w:rsid w:val="6CFF5DF7"/>
    <w:rsid w:val="6D1F32C5"/>
    <w:rsid w:val="6E5F7FBC"/>
    <w:rsid w:val="73B142EF"/>
    <w:rsid w:val="73B515B8"/>
    <w:rsid w:val="74FF7ADA"/>
    <w:rsid w:val="753C4709"/>
    <w:rsid w:val="76697741"/>
    <w:rsid w:val="781E653B"/>
    <w:rsid w:val="78340DBA"/>
    <w:rsid w:val="7BBE6777"/>
    <w:rsid w:val="7D8C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character" w:customStyle="1" w:styleId="9">
    <w:name w:val="font91"/>
    <w:basedOn w:val="7"/>
    <w:uiPriority w:val="0"/>
    <w:rPr>
      <w:rFonts w:hint="eastAsia" w:ascii="宋体" w:hAnsi="宋体" w:eastAsia="宋体" w:cs="宋体"/>
      <w:b/>
      <w:bCs/>
      <w:color w:val="000000"/>
      <w:sz w:val="32"/>
      <w:szCs w:val="32"/>
      <w:u w:val="none"/>
    </w:rPr>
  </w:style>
  <w:style w:type="character" w:customStyle="1" w:styleId="10">
    <w:name w:val="font01"/>
    <w:basedOn w:val="7"/>
    <w:qFormat/>
    <w:uiPriority w:val="0"/>
    <w:rPr>
      <w:rFonts w:hint="eastAsia" w:ascii="宋体" w:hAnsi="宋体" w:eastAsia="宋体" w:cs="宋体"/>
      <w:color w:val="000000"/>
      <w:sz w:val="32"/>
      <w:szCs w:val="32"/>
      <w:u w:val="none"/>
    </w:rPr>
  </w:style>
  <w:style w:type="character" w:customStyle="1" w:styleId="11">
    <w:name w:val="font11"/>
    <w:basedOn w:val="7"/>
    <w:qFormat/>
    <w:uiPriority w:val="0"/>
    <w:rPr>
      <w:rFonts w:hint="eastAsia" w:ascii="宋体" w:hAnsi="宋体" w:eastAsia="宋体" w:cs="宋体"/>
      <w:color w:val="000000"/>
      <w:sz w:val="20"/>
      <w:szCs w:val="20"/>
      <w:u w:val="none"/>
    </w:rPr>
  </w:style>
  <w:style w:type="character" w:customStyle="1" w:styleId="12">
    <w:name w:val="font61"/>
    <w:basedOn w:val="7"/>
    <w:qFormat/>
    <w:uiPriority w:val="0"/>
    <w:rPr>
      <w:rFonts w:hint="eastAsia" w:ascii="宋体" w:hAnsi="宋体" w:eastAsia="宋体" w:cs="宋体"/>
      <w:color w:val="000000"/>
      <w:sz w:val="20"/>
      <w:szCs w:val="20"/>
      <w:u w:val="none"/>
    </w:rPr>
  </w:style>
  <w:style w:type="character" w:customStyle="1" w:styleId="13">
    <w:name w:val="font31"/>
    <w:basedOn w:val="7"/>
    <w:qFormat/>
    <w:uiPriority w:val="99"/>
    <w:rPr>
      <w:rFonts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1022</Words>
  <Characters>1170</Characters>
  <Lines>0</Lines>
  <Paragraphs>0</Paragraphs>
  <TotalTime>9</TotalTime>
  <ScaleCrop>false</ScaleCrop>
  <LinksUpToDate>false</LinksUpToDate>
  <CharactersWithSpaces>1239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2022-09-08T03:25:00Z</dcterms:created>
  <dc:creator>爱逗黎vera</dc:creator>
  <cp:lastModifiedBy>Administrator</cp:lastModifiedBy>
  <dcterms:modified xsi:type="dcterms:W3CDTF">2025-07-14T01:59:57Z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7DE3F323ACA74796ACBCEF143BBE8AE0</vt:lpwstr>
  </property>
  <property fmtid="{D5CDD505-2E9C-101B-9397-08002B2CF9AE}" pid="4" name="KSOTemplateDocerSaveRecord">
    <vt:lpwstr>eyJoZGlkIjoiZTJiNWI5MjJhMDk4YjQ4MTBkMjc5ZWIwM2MzMmMwMGEifQ==</vt:lpwstr>
  </property>
</Properties>
</file>