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_GBK" w:hAnsi="方正小标宋_GBK" w:eastAsia="方正小标宋_GBK" w:cs="方正小标宋_GBK"/>
          <w:i w:val="0"/>
          <w:caps w:val="0"/>
          <w:color w:val="333333"/>
          <w:spacing w:val="0"/>
          <w:kern w:val="0"/>
          <w:sz w:val="44"/>
          <w:szCs w:val="44"/>
          <w:shd w:val="clear" w:color="auto" w:fill="FFFFFF"/>
          <w:lang w:val="en-US" w:eastAsia="zh-CN" w:bidi="ar"/>
        </w:rPr>
      </w:pPr>
      <w:bookmarkStart w:id="0" w:name="_GoBack"/>
      <w:bookmarkEnd w:id="0"/>
      <w:r>
        <w:rPr>
          <w:rFonts w:hint="default" w:ascii="方正小标宋_GBK" w:hAnsi="方正小标宋_GBK" w:eastAsia="方正小标宋_GBK" w:cs="方正小标宋_GBK"/>
          <w:i w:val="0"/>
          <w:caps w:val="0"/>
          <w:color w:val="333333"/>
          <w:spacing w:val="0"/>
          <w:kern w:val="0"/>
          <w:sz w:val="44"/>
          <w:szCs w:val="44"/>
          <w:shd w:val="clear" w:color="auto" w:fill="FFFFFF"/>
          <w:lang w:val="en-US" w:eastAsia="zh-CN" w:bidi="ar"/>
        </w:rPr>
        <w:t>黄山市老年助餐服务机构动态调整办法</w:t>
      </w:r>
    </w:p>
    <w:p>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150" w:afterAutospacing="0" w:line="560" w:lineRule="exact"/>
        <w:ind w:left="0" w:right="0" w:firstLine="420"/>
        <w:jc w:val="both"/>
        <w:textAlignment w:val="auto"/>
        <w:rPr>
          <w:rFonts w:hint="eastAsia" w:ascii="仿宋_GB2312" w:hAnsi="仿宋_GB2312" w:eastAsia="仿宋_GB2312" w:cs="仿宋_GB2312"/>
          <w:i w:val="0"/>
          <w:caps w:val="0"/>
          <w:color w:val="333333"/>
          <w:spacing w:val="0"/>
          <w:sz w:val="32"/>
          <w:szCs w:val="32"/>
          <w:shd w:val="clear" w:color="auto" w:fill="FFFFFF"/>
        </w:rPr>
      </w:pPr>
    </w:p>
    <w:p>
      <w:pPr>
        <w:pStyle w:val="2"/>
        <w:keepNext w:val="0"/>
        <w:keepLines w:val="0"/>
        <w:pageBreakBefore w:val="0"/>
        <w:widowControl/>
        <w:suppressLineNumbers w:val="0"/>
        <w:shd w:val="clear" w:color="auto" w:fill="FFFFFF"/>
        <w:kinsoku/>
        <w:wordWrap/>
        <w:overflowPunct/>
        <w:topLinePunct w:val="0"/>
        <w:autoSpaceDE/>
        <w:autoSpaceDN/>
        <w:bidi w:val="0"/>
        <w:adjustRightInd/>
        <w:snapToGrid w:val="0"/>
        <w:spacing w:before="0" w:beforeAutospacing="0" w:after="0" w:afterAutospacing="0" w:line="560" w:lineRule="exact"/>
        <w:ind w:left="0" w:right="0" w:firstLine="420"/>
        <w:jc w:val="both"/>
        <w:textAlignment w:val="auto"/>
        <w:rPr>
          <w:rFonts w:hint="eastAsia" w:ascii="黑体" w:hAnsi="黑体" w:eastAsia="黑体" w:cs="黑体"/>
          <w:i w:val="0"/>
          <w:caps w:val="0"/>
          <w:color w:val="333333"/>
          <w:spacing w:val="0"/>
          <w:sz w:val="32"/>
          <w:szCs w:val="32"/>
          <w:shd w:val="clear" w:color="auto" w:fill="FFFFFF"/>
        </w:rPr>
      </w:pPr>
      <w:r>
        <w:rPr>
          <w:rFonts w:hint="eastAsia" w:ascii="黑体" w:hAnsi="黑体" w:eastAsia="黑体" w:cs="黑体"/>
          <w:i w:val="0"/>
          <w:caps w:val="0"/>
          <w:color w:val="333333"/>
          <w:spacing w:val="0"/>
          <w:sz w:val="32"/>
          <w:szCs w:val="32"/>
          <w:shd w:val="clear" w:color="auto" w:fill="FFFFFF"/>
        </w:rPr>
        <w:t>第一章  总则</w:t>
      </w:r>
    </w:p>
    <w:p>
      <w:pPr>
        <w:pStyle w:val="2"/>
        <w:keepNext w:val="0"/>
        <w:keepLines w:val="0"/>
        <w:pageBreakBefore w:val="0"/>
        <w:widowControl/>
        <w:suppressLineNumbers w:val="0"/>
        <w:shd w:val="clear" w:color="auto" w:fill="FFFFFF"/>
        <w:kinsoku/>
        <w:wordWrap/>
        <w:overflowPunct/>
        <w:topLinePunct w:val="0"/>
        <w:autoSpaceDE/>
        <w:autoSpaceDN/>
        <w:bidi w:val="0"/>
        <w:adjustRightInd/>
        <w:snapToGrid w:val="0"/>
        <w:spacing w:before="0" w:beforeAutospacing="0" w:after="0" w:afterAutospacing="0" w:line="560" w:lineRule="exact"/>
        <w:ind w:left="0" w:right="0" w:firstLine="420"/>
        <w:jc w:val="both"/>
        <w:textAlignment w:val="auto"/>
        <w:rPr>
          <w:rFonts w:hint="eastAsia" w:ascii="仿宋_GB2312" w:hAnsi="仿宋_GB2312" w:eastAsia="仿宋_GB2312" w:cs="仿宋_GB2312"/>
          <w:i w:val="0"/>
          <w:caps w:val="0"/>
          <w:color w:val="333333"/>
          <w:spacing w:val="0"/>
          <w:sz w:val="32"/>
          <w:szCs w:val="32"/>
        </w:rPr>
      </w:pPr>
      <w:r>
        <w:rPr>
          <w:rFonts w:hint="eastAsia" w:ascii="楷体_GB2312" w:hAnsi="楷体_GB2312" w:eastAsia="楷体_GB2312" w:cs="楷体_GB2312"/>
          <w:b/>
          <w:bCs/>
          <w:i w:val="0"/>
          <w:caps w:val="0"/>
          <w:color w:val="333333"/>
          <w:spacing w:val="0"/>
          <w:sz w:val="32"/>
          <w:szCs w:val="32"/>
          <w:shd w:val="clear" w:color="auto" w:fill="FFFFFF"/>
        </w:rPr>
        <w:t>第一条 </w:t>
      </w:r>
      <w:r>
        <w:rPr>
          <w:rFonts w:hint="eastAsia" w:ascii="仿宋_GB2312" w:hAnsi="仿宋_GB2312" w:eastAsia="仿宋_GB2312" w:cs="仿宋_GB2312"/>
          <w:i w:val="0"/>
          <w:caps w:val="0"/>
          <w:color w:val="333333"/>
          <w:spacing w:val="0"/>
          <w:sz w:val="32"/>
          <w:szCs w:val="32"/>
          <w:shd w:val="clear" w:color="auto" w:fill="FFFFFF"/>
        </w:rPr>
        <w:t>为贯彻落实省民政厅等11部门《建立健全长效机制促进老年助餐服务提质增效实施方案》等文件精神，进一步做好全市老年助餐服务工作，推动老年助餐服务可持续发展，结合我市实际，制定本办法。</w:t>
      </w:r>
    </w:p>
    <w:p>
      <w:pPr>
        <w:pStyle w:val="2"/>
        <w:keepNext w:val="0"/>
        <w:keepLines w:val="0"/>
        <w:pageBreakBefore w:val="0"/>
        <w:widowControl/>
        <w:suppressLineNumbers w:val="0"/>
        <w:shd w:val="clear" w:color="auto" w:fill="FFFFFF"/>
        <w:kinsoku/>
        <w:wordWrap/>
        <w:overflowPunct/>
        <w:topLinePunct w:val="0"/>
        <w:autoSpaceDE/>
        <w:autoSpaceDN/>
        <w:bidi w:val="0"/>
        <w:adjustRightInd/>
        <w:snapToGrid w:val="0"/>
        <w:spacing w:before="0" w:beforeAutospacing="0" w:after="0" w:afterAutospacing="0" w:line="560" w:lineRule="exact"/>
        <w:ind w:left="0" w:right="0" w:firstLine="420"/>
        <w:jc w:val="both"/>
        <w:textAlignment w:val="auto"/>
        <w:rPr>
          <w:rFonts w:hint="eastAsia" w:ascii="仿宋_GB2312" w:hAnsi="仿宋_GB2312" w:eastAsia="仿宋_GB2312" w:cs="仿宋_GB2312"/>
          <w:i w:val="0"/>
          <w:caps w:val="0"/>
          <w:color w:val="333333"/>
          <w:spacing w:val="0"/>
          <w:sz w:val="32"/>
          <w:szCs w:val="32"/>
        </w:rPr>
      </w:pPr>
      <w:r>
        <w:rPr>
          <w:rFonts w:hint="eastAsia" w:ascii="楷体_GB2312" w:hAnsi="楷体_GB2312" w:eastAsia="楷体_GB2312" w:cs="楷体_GB2312"/>
          <w:b/>
          <w:bCs/>
          <w:i w:val="0"/>
          <w:caps w:val="0"/>
          <w:color w:val="333333"/>
          <w:spacing w:val="0"/>
          <w:sz w:val="32"/>
          <w:szCs w:val="32"/>
          <w:shd w:val="clear" w:color="auto" w:fill="FFFFFF"/>
        </w:rPr>
        <w:t>第二条</w:t>
      </w:r>
      <w:r>
        <w:rPr>
          <w:rFonts w:hint="eastAsia" w:ascii="仿宋_GB2312" w:hAnsi="仿宋_GB2312" w:eastAsia="仿宋_GB2312" w:cs="仿宋_GB2312"/>
          <w:i w:val="0"/>
          <w:caps w:val="0"/>
          <w:color w:val="333333"/>
          <w:spacing w:val="0"/>
          <w:sz w:val="32"/>
          <w:szCs w:val="32"/>
          <w:shd w:val="clear" w:color="auto" w:fill="FFFFFF"/>
        </w:rPr>
        <w:t> 本办法适用于全市为老年人开展集中用餐或配送服务的老年食堂和助餐点。</w:t>
      </w:r>
    </w:p>
    <w:p>
      <w:pPr>
        <w:pStyle w:val="2"/>
        <w:keepNext w:val="0"/>
        <w:keepLines w:val="0"/>
        <w:pageBreakBefore w:val="0"/>
        <w:widowControl/>
        <w:suppressLineNumbers w:val="0"/>
        <w:shd w:val="clear" w:color="auto" w:fill="FFFFFF"/>
        <w:kinsoku/>
        <w:wordWrap/>
        <w:overflowPunct/>
        <w:topLinePunct w:val="0"/>
        <w:autoSpaceDE/>
        <w:autoSpaceDN/>
        <w:bidi w:val="0"/>
        <w:adjustRightInd/>
        <w:snapToGrid w:val="0"/>
        <w:spacing w:before="0" w:beforeAutospacing="0" w:after="0" w:afterAutospacing="0" w:line="560" w:lineRule="exact"/>
        <w:ind w:left="0" w:right="0" w:firstLine="420"/>
        <w:jc w:val="both"/>
        <w:textAlignment w:val="auto"/>
        <w:rPr>
          <w:rFonts w:hint="eastAsia" w:ascii="仿宋_GB2312" w:hAnsi="仿宋_GB2312" w:eastAsia="仿宋_GB2312" w:cs="仿宋_GB2312"/>
          <w:i w:val="0"/>
          <w:caps w:val="0"/>
          <w:color w:val="333333"/>
          <w:spacing w:val="0"/>
          <w:sz w:val="32"/>
          <w:szCs w:val="32"/>
        </w:rPr>
      </w:pPr>
      <w:r>
        <w:rPr>
          <w:rFonts w:hint="eastAsia" w:ascii="楷体_GB2312" w:hAnsi="楷体_GB2312" w:eastAsia="楷体_GB2312" w:cs="楷体_GB2312"/>
          <w:b/>
          <w:bCs/>
          <w:i w:val="0"/>
          <w:caps w:val="0"/>
          <w:color w:val="333333"/>
          <w:spacing w:val="0"/>
          <w:sz w:val="32"/>
          <w:szCs w:val="32"/>
          <w:shd w:val="clear" w:color="auto" w:fill="FFFFFF"/>
        </w:rPr>
        <w:t>第三条</w:t>
      </w:r>
      <w:r>
        <w:rPr>
          <w:rFonts w:hint="eastAsia" w:ascii="仿宋_GB2312" w:hAnsi="仿宋_GB2312" w:eastAsia="仿宋_GB2312" w:cs="仿宋_GB2312"/>
          <w:i w:val="0"/>
          <w:caps w:val="0"/>
          <w:color w:val="333333"/>
          <w:spacing w:val="0"/>
          <w:sz w:val="32"/>
          <w:szCs w:val="32"/>
          <w:shd w:val="clear" w:color="auto" w:fill="FFFFFF"/>
        </w:rPr>
        <w:t> 本办法旨在规范老年助餐服务机构准入和退出机制，确保老年助餐服务质量，提高老年助餐服务水平，巩固老年助餐服务可持续发展能力。</w:t>
      </w:r>
    </w:p>
    <w:p>
      <w:pPr>
        <w:pStyle w:val="2"/>
        <w:keepNext w:val="0"/>
        <w:keepLines w:val="0"/>
        <w:pageBreakBefore w:val="0"/>
        <w:widowControl/>
        <w:suppressLineNumbers w:val="0"/>
        <w:shd w:val="clear" w:color="auto" w:fill="FFFFFF"/>
        <w:kinsoku/>
        <w:wordWrap/>
        <w:overflowPunct/>
        <w:topLinePunct w:val="0"/>
        <w:autoSpaceDE/>
        <w:autoSpaceDN/>
        <w:bidi w:val="0"/>
        <w:adjustRightInd/>
        <w:snapToGrid w:val="0"/>
        <w:spacing w:before="0" w:beforeAutospacing="0" w:after="0" w:afterAutospacing="0" w:line="560" w:lineRule="exact"/>
        <w:ind w:left="0" w:right="0" w:firstLine="420"/>
        <w:jc w:val="both"/>
        <w:textAlignment w:val="auto"/>
        <w:rPr>
          <w:rFonts w:hint="eastAsia" w:ascii="仿宋_GB2312" w:hAnsi="仿宋_GB2312" w:eastAsia="仿宋_GB2312" w:cs="仿宋_GB2312"/>
          <w:i w:val="0"/>
          <w:caps w:val="0"/>
          <w:color w:val="333333"/>
          <w:spacing w:val="0"/>
          <w:sz w:val="32"/>
          <w:szCs w:val="32"/>
        </w:rPr>
      </w:pPr>
      <w:r>
        <w:rPr>
          <w:rFonts w:hint="eastAsia" w:ascii="楷体_GB2312" w:hAnsi="楷体_GB2312" w:eastAsia="楷体_GB2312" w:cs="楷体_GB2312"/>
          <w:b/>
          <w:bCs/>
          <w:i w:val="0"/>
          <w:caps w:val="0"/>
          <w:color w:val="333333"/>
          <w:spacing w:val="0"/>
          <w:sz w:val="32"/>
          <w:szCs w:val="32"/>
          <w:shd w:val="clear" w:color="auto" w:fill="FFFFFF"/>
        </w:rPr>
        <w:t>第四条</w:t>
      </w:r>
      <w:r>
        <w:rPr>
          <w:rFonts w:hint="eastAsia" w:ascii="仿宋_GB2312" w:hAnsi="仿宋_GB2312" w:eastAsia="仿宋_GB2312" w:cs="仿宋_GB2312"/>
          <w:i w:val="0"/>
          <w:caps w:val="0"/>
          <w:color w:val="333333"/>
          <w:spacing w:val="0"/>
          <w:sz w:val="32"/>
          <w:szCs w:val="32"/>
          <w:shd w:val="clear" w:color="auto" w:fill="FFFFFF"/>
        </w:rPr>
        <w:t> 本办法坚持数量服从质量原则，对于只挂牌未运营、就餐人数过少、老年人满意度低、存在重大安全隐患等问题的老年助餐服务机构，能优化的优化，能调整的调整，该退出的坚决退出。</w:t>
      </w:r>
    </w:p>
    <w:p>
      <w:pPr>
        <w:pStyle w:val="2"/>
        <w:keepNext w:val="0"/>
        <w:keepLines w:val="0"/>
        <w:pageBreakBefore w:val="0"/>
        <w:widowControl/>
        <w:suppressLineNumbers w:val="0"/>
        <w:shd w:val="clear" w:color="auto" w:fill="FFFFFF"/>
        <w:kinsoku/>
        <w:wordWrap/>
        <w:overflowPunct/>
        <w:topLinePunct w:val="0"/>
        <w:autoSpaceDE/>
        <w:autoSpaceDN/>
        <w:bidi w:val="0"/>
        <w:adjustRightInd/>
        <w:snapToGrid w:val="0"/>
        <w:spacing w:before="0" w:beforeAutospacing="0" w:after="0" w:afterAutospacing="0" w:line="560" w:lineRule="exact"/>
        <w:ind w:left="0" w:right="0" w:firstLine="420"/>
        <w:jc w:val="both"/>
        <w:textAlignment w:val="auto"/>
        <w:rPr>
          <w:rFonts w:hint="eastAsia" w:ascii="黑体" w:hAnsi="黑体" w:eastAsia="黑体" w:cs="黑体"/>
          <w:i w:val="0"/>
          <w:caps w:val="0"/>
          <w:color w:val="333333"/>
          <w:spacing w:val="0"/>
          <w:sz w:val="32"/>
          <w:szCs w:val="32"/>
          <w:shd w:val="clear" w:color="auto" w:fill="FFFFFF"/>
        </w:rPr>
      </w:pPr>
      <w:r>
        <w:rPr>
          <w:rFonts w:hint="eastAsia" w:ascii="黑体" w:hAnsi="黑体" w:eastAsia="黑体" w:cs="黑体"/>
          <w:i w:val="0"/>
          <w:caps w:val="0"/>
          <w:color w:val="333333"/>
          <w:spacing w:val="0"/>
          <w:sz w:val="32"/>
          <w:szCs w:val="32"/>
          <w:shd w:val="clear" w:color="auto" w:fill="FFFFFF"/>
        </w:rPr>
        <w:t>第二章  准入条件</w:t>
      </w:r>
    </w:p>
    <w:p>
      <w:pPr>
        <w:pStyle w:val="2"/>
        <w:keepNext w:val="0"/>
        <w:keepLines w:val="0"/>
        <w:pageBreakBefore w:val="0"/>
        <w:widowControl/>
        <w:suppressLineNumbers w:val="0"/>
        <w:shd w:val="clear" w:color="auto" w:fill="FFFFFF"/>
        <w:kinsoku/>
        <w:wordWrap/>
        <w:overflowPunct/>
        <w:topLinePunct w:val="0"/>
        <w:autoSpaceDE/>
        <w:autoSpaceDN/>
        <w:bidi w:val="0"/>
        <w:adjustRightInd/>
        <w:snapToGrid w:val="0"/>
        <w:spacing w:before="0" w:beforeAutospacing="0" w:after="0" w:afterAutospacing="0" w:line="560" w:lineRule="exact"/>
        <w:ind w:left="0" w:right="0" w:firstLine="420"/>
        <w:jc w:val="both"/>
        <w:textAlignment w:val="auto"/>
        <w:rPr>
          <w:rFonts w:hint="eastAsia" w:ascii="仿宋_GB2312" w:hAnsi="仿宋_GB2312" w:eastAsia="仿宋_GB2312" w:cs="仿宋_GB2312"/>
          <w:i w:val="0"/>
          <w:caps w:val="0"/>
          <w:color w:val="333333"/>
          <w:spacing w:val="0"/>
          <w:sz w:val="32"/>
          <w:szCs w:val="32"/>
        </w:rPr>
      </w:pPr>
      <w:r>
        <w:rPr>
          <w:rFonts w:hint="eastAsia" w:ascii="楷体_GB2312" w:hAnsi="楷体_GB2312" w:eastAsia="楷体_GB2312" w:cs="楷体_GB2312"/>
          <w:b/>
          <w:bCs/>
          <w:i w:val="0"/>
          <w:caps w:val="0"/>
          <w:color w:val="333333"/>
          <w:spacing w:val="0"/>
          <w:sz w:val="32"/>
          <w:szCs w:val="32"/>
          <w:shd w:val="clear" w:color="auto" w:fill="FFFFFF"/>
        </w:rPr>
        <w:t>第五条</w:t>
      </w:r>
      <w:r>
        <w:rPr>
          <w:rFonts w:hint="eastAsia" w:ascii="仿宋_GB2312" w:hAnsi="仿宋_GB2312" w:eastAsia="仿宋_GB2312" w:cs="仿宋_GB2312"/>
          <w:i w:val="0"/>
          <w:caps w:val="0"/>
          <w:color w:val="333333"/>
          <w:spacing w:val="0"/>
          <w:sz w:val="32"/>
          <w:szCs w:val="32"/>
          <w:shd w:val="clear" w:color="auto" w:fill="FFFFFF"/>
        </w:rPr>
        <w:t> 老年助餐服务机构选址工作坚持科学审慎原则，深入摸排辖区内老年人的就餐服务需求，综合考虑辖区内老年人口规模、已建有老年助餐服务设施数量、助餐服务需求、服务半径等因素，优先将老年助餐服务机构设置在老年人居住集中、活动集中、助餐需求旺盛、位置便利的地点，实现资源利用率最大化，真正发挥老年助餐规划布局建设作用。</w:t>
      </w:r>
    </w:p>
    <w:p>
      <w:pPr>
        <w:pStyle w:val="2"/>
        <w:keepNext w:val="0"/>
        <w:keepLines w:val="0"/>
        <w:pageBreakBefore w:val="0"/>
        <w:widowControl/>
        <w:suppressLineNumbers w:val="0"/>
        <w:shd w:val="clear" w:color="auto" w:fill="FFFFFF"/>
        <w:kinsoku/>
        <w:wordWrap/>
        <w:overflowPunct/>
        <w:topLinePunct w:val="0"/>
        <w:autoSpaceDE/>
        <w:autoSpaceDN/>
        <w:bidi w:val="0"/>
        <w:adjustRightInd/>
        <w:snapToGrid w:val="0"/>
        <w:spacing w:before="0" w:beforeAutospacing="0" w:after="0" w:afterAutospacing="0" w:line="560" w:lineRule="exact"/>
        <w:ind w:left="0" w:right="0" w:firstLine="420"/>
        <w:jc w:val="both"/>
        <w:textAlignment w:val="auto"/>
        <w:rPr>
          <w:rFonts w:hint="eastAsia" w:ascii="仿宋_GB2312" w:hAnsi="仿宋_GB2312" w:eastAsia="仿宋_GB2312" w:cs="仿宋_GB2312"/>
          <w:i w:val="0"/>
          <w:caps w:val="0"/>
          <w:color w:val="333333"/>
          <w:spacing w:val="0"/>
          <w:sz w:val="32"/>
          <w:szCs w:val="32"/>
        </w:rPr>
      </w:pPr>
      <w:r>
        <w:rPr>
          <w:rFonts w:hint="eastAsia" w:ascii="楷体_GB2312" w:hAnsi="楷体_GB2312" w:eastAsia="楷体_GB2312" w:cs="楷体_GB2312"/>
          <w:b/>
          <w:bCs/>
          <w:i w:val="0"/>
          <w:caps w:val="0"/>
          <w:color w:val="333333"/>
          <w:spacing w:val="0"/>
          <w:sz w:val="32"/>
          <w:szCs w:val="32"/>
          <w:shd w:val="clear" w:color="auto" w:fill="FFFFFF"/>
        </w:rPr>
        <w:t>第六条</w:t>
      </w:r>
      <w:r>
        <w:rPr>
          <w:rFonts w:hint="eastAsia" w:ascii="仿宋_GB2312" w:hAnsi="仿宋_GB2312" w:eastAsia="仿宋_GB2312" w:cs="仿宋_GB2312"/>
          <w:i w:val="0"/>
          <w:caps w:val="0"/>
          <w:color w:val="333333"/>
          <w:spacing w:val="0"/>
          <w:sz w:val="32"/>
          <w:szCs w:val="32"/>
          <w:shd w:val="clear" w:color="auto" w:fill="FFFFFF"/>
        </w:rPr>
        <w:t> 老年助餐服务机构应依据《安徽省老年助餐服务场所建设工作指引》《安徽省老年助餐服务食品安全工作指引》《安徽省社会力量参与老年助餐服务工作指引》等，严格按照相关工作指引要求，做到标准化、规范化建设。新建、改建、扩建的老年助餐服务机构应加强服务场所中的人身安全、消防安全等管理，防范各类安全风险。</w:t>
      </w:r>
    </w:p>
    <w:p>
      <w:pPr>
        <w:pStyle w:val="2"/>
        <w:keepNext w:val="0"/>
        <w:keepLines w:val="0"/>
        <w:pageBreakBefore w:val="0"/>
        <w:widowControl/>
        <w:suppressLineNumbers w:val="0"/>
        <w:shd w:val="clear" w:color="auto" w:fill="FFFFFF"/>
        <w:kinsoku/>
        <w:wordWrap/>
        <w:overflowPunct/>
        <w:topLinePunct w:val="0"/>
        <w:autoSpaceDE/>
        <w:autoSpaceDN/>
        <w:bidi w:val="0"/>
        <w:adjustRightInd/>
        <w:snapToGrid w:val="0"/>
        <w:spacing w:before="0" w:beforeAutospacing="0" w:after="0" w:afterAutospacing="0" w:line="560" w:lineRule="exact"/>
        <w:ind w:left="0" w:right="0" w:firstLine="420"/>
        <w:jc w:val="both"/>
        <w:textAlignment w:val="auto"/>
        <w:rPr>
          <w:rFonts w:hint="eastAsia" w:ascii="仿宋_GB2312" w:hAnsi="仿宋_GB2312" w:eastAsia="仿宋_GB2312" w:cs="仿宋_GB2312"/>
          <w:i w:val="0"/>
          <w:caps w:val="0"/>
          <w:color w:val="333333"/>
          <w:spacing w:val="0"/>
          <w:sz w:val="32"/>
          <w:szCs w:val="32"/>
        </w:rPr>
      </w:pPr>
      <w:r>
        <w:rPr>
          <w:rFonts w:hint="eastAsia" w:ascii="楷体_GB2312" w:hAnsi="楷体_GB2312" w:eastAsia="楷体_GB2312" w:cs="楷体_GB2312"/>
          <w:b/>
          <w:bCs/>
          <w:i w:val="0"/>
          <w:caps w:val="0"/>
          <w:color w:val="333333"/>
          <w:spacing w:val="0"/>
          <w:sz w:val="32"/>
          <w:szCs w:val="32"/>
          <w:shd w:val="clear" w:color="auto" w:fill="FFFFFF"/>
        </w:rPr>
        <w:t>第七条 </w:t>
      </w:r>
      <w:r>
        <w:rPr>
          <w:rFonts w:hint="eastAsia" w:ascii="仿宋_GB2312" w:hAnsi="仿宋_GB2312" w:eastAsia="仿宋_GB2312" w:cs="仿宋_GB2312"/>
          <w:i w:val="0"/>
          <w:caps w:val="0"/>
          <w:color w:val="333333"/>
          <w:spacing w:val="0"/>
          <w:sz w:val="32"/>
          <w:szCs w:val="32"/>
          <w:shd w:val="clear" w:color="auto" w:fill="FFFFFF"/>
        </w:rPr>
        <w:t>老年助餐服务机构应当按照法律法规和食品安全标准开展食品经营活动，建立健全原料控制、餐具饮具清洗消毒等制度，含厨房的老年助餐服务机构（老年食堂、依托餐饮企业的老年助餐点等）应按要求落实48小时食品留样制度，严格落实食品安全自查、问题隐患整改、潜在风险报告等要求。</w:t>
      </w:r>
    </w:p>
    <w:p>
      <w:pPr>
        <w:pStyle w:val="2"/>
        <w:keepNext w:val="0"/>
        <w:keepLines w:val="0"/>
        <w:pageBreakBefore w:val="0"/>
        <w:widowControl/>
        <w:suppressLineNumbers w:val="0"/>
        <w:shd w:val="clear" w:color="auto" w:fill="FFFFFF"/>
        <w:kinsoku/>
        <w:wordWrap/>
        <w:overflowPunct/>
        <w:topLinePunct w:val="0"/>
        <w:autoSpaceDE/>
        <w:autoSpaceDN/>
        <w:bidi w:val="0"/>
        <w:adjustRightInd/>
        <w:snapToGrid w:val="0"/>
        <w:spacing w:before="0" w:beforeAutospacing="0" w:after="0" w:afterAutospacing="0" w:line="560" w:lineRule="exact"/>
        <w:ind w:left="0" w:right="0" w:firstLine="420"/>
        <w:jc w:val="both"/>
        <w:textAlignment w:val="auto"/>
        <w:rPr>
          <w:rFonts w:hint="eastAsia" w:ascii="仿宋_GB2312" w:hAnsi="仿宋_GB2312" w:eastAsia="仿宋_GB2312" w:cs="仿宋_GB2312"/>
          <w:i w:val="0"/>
          <w:caps w:val="0"/>
          <w:color w:val="333333"/>
          <w:spacing w:val="0"/>
          <w:sz w:val="32"/>
          <w:szCs w:val="32"/>
        </w:rPr>
      </w:pPr>
      <w:r>
        <w:rPr>
          <w:rFonts w:hint="eastAsia" w:ascii="楷体_GB2312" w:hAnsi="楷体_GB2312" w:eastAsia="楷体_GB2312" w:cs="楷体_GB2312"/>
          <w:b/>
          <w:bCs/>
          <w:i w:val="0"/>
          <w:caps w:val="0"/>
          <w:color w:val="333333"/>
          <w:spacing w:val="0"/>
          <w:sz w:val="32"/>
          <w:szCs w:val="32"/>
          <w:shd w:val="clear" w:color="auto" w:fill="FFFFFF"/>
        </w:rPr>
        <w:t>第八条</w:t>
      </w:r>
      <w:r>
        <w:rPr>
          <w:rFonts w:hint="eastAsia" w:ascii="仿宋_GB2312" w:hAnsi="仿宋_GB2312" w:eastAsia="仿宋_GB2312" w:cs="仿宋_GB2312"/>
          <w:i w:val="0"/>
          <w:caps w:val="0"/>
          <w:color w:val="333333"/>
          <w:spacing w:val="0"/>
          <w:sz w:val="32"/>
          <w:szCs w:val="32"/>
          <w:shd w:val="clear" w:color="auto" w:fill="FFFFFF"/>
        </w:rPr>
        <w:t> 采用集体用餐配送方式的老年助餐服务机构，应当与供餐单位签订供餐合同，指定专人负责查验供餐单位提供的食品，严把质量关。</w:t>
      </w:r>
    </w:p>
    <w:p>
      <w:pPr>
        <w:pStyle w:val="2"/>
        <w:keepNext w:val="0"/>
        <w:keepLines w:val="0"/>
        <w:pageBreakBefore w:val="0"/>
        <w:widowControl/>
        <w:suppressLineNumbers w:val="0"/>
        <w:shd w:val="clear" w:color="auto" w:fill="FFFFFF"/>
        <w:kinsoku/>
        <w:wordWrap/>
        <w:overflowPunct/>
        <w:topLinePunct w:val="0"/>
        <w:autoSpaceDE/>
        <w:autoSpaceDN/>
        <w:bidi w:val="0"/>
        <w:adjustRightInd/>
        <w:snapToGrid w:val="0"/>
        <w:spacing w:before="0" w:beforeAutospacing="0" w:after="0" w:afterAutospacing="0" w:line="560" w:lineRule="exact"/>
        <w:ind w:left="0" w:right="0" w:firstLine="420"/>
        <w:jc w:val="both"/>
        <w:textAlignment w:val="auto"/>
        <w:rPr>
          <w:rFonts w:hint="eastAsia" w:ascii="仿宋_GB2312" w:hAnsi="仿宋_GB2312" w:eastAsia="仿宋_GB2312" w:cs="仿宋_GB2312"/>
          <w:i w:val="0"/>
          <w:caps w:val="0"/>
          <w:color w:val="333333"/>
          <w:spacing w:val="0"/>
          <w:sz w:val="32"/>
          <w:szCs w:val="32"/>
        </w:rPr>
      </w:pPr>
      <w:r>
        <w:rPr>
          <w:rFonts w:hint="eastAsia" w:ascii="楷体_GB2312" w:hAnsi="楷体_GB2312" w:eastAsia="楷体_GB2312" w:cs="楷体_GB2312"/>
          <w:b/>
          <w:bCs/>
          <w:i w:val="0"/>
          <w:caps w:val="0"/>
          <w:color w:val="333333"/>
          <w:spacing w:val="0"/>
          <w:sz w:val="32"/>
          <w:szCs w:val="32"/>
          <w:shd w:val="clear" w:color="auto" w:fill="FFFFFF"/>
        </w:rPr>
        <w:t>第九条</w:t>
      </w:r>
      <w:r>
        <w:rPr>
          <w:rFonts w:hint="eastAsia" w:ascii="仿宋_GB2312" w:hAnsi="仿宋_GB2312" w:eastAsia="仿宋_GB2312" w:cs="仿宋_GB2312"/>
          <w:i w:val="0"/>
          <w:caps w:val="0"/>
          <w:color w:val="333333"/>
          <w:spacing w:val="0"/>
          <w:sz w:val="32"/>
          <w:szCs w:val="32"/>
          <w:shd w:val="clear" w:color="auto" w:fill="FFFFFF"/>
        </w:rPr>
        <w:t> 在保证食品安全的前提下，支持餐饮企业提供老年餐食配送服务。发挥互联网平台、物流企业等作用，充分利用现有物流网络为老年人送餐。难以利用现有服务资源和物流网络为老年人送餐的，鼓励支持村（居）委会组织相关资源和力量，重点解决为行动不便老年人送餐上门问题。</w:t>
      </w:r>
    </w:p>
    <w:p>
      <w:pPr>
        <w:pStyle w:val="2"/>
        <w:keepNext w:val="0"/>
        <w:keepLines w:val="0"/>
        <w:pageBreakBefore w:val="0"/>
        <w:widowControl/>
        <w:suppressLineNumbers w:val="0"/>
        <w:shd w:val="clear" w:color="auto" w:fill="FFFFFF"/>
        <w:kinsoku/>
        <w:wordWrap/>
        <w:overflowPunct/>
        <w:topLinePunct w:val="0"/>
        <w:autoSpaceDE/>
        <w:autoSpaceDN/>
        <w:bidi w:val="0"/>
        <w:adjustRightInd/>
        <w:snapToGrid w:val="0"/>
        <w:spacing w:before="0" w:beforeAutospacing="0" w:after="0" w:afterAutospacing="0" w:line="560" w:lineRule="exact"/>
        <w:ind w:left="0" w:right="0" w:firstLine="420"/>
        <w:jc w:val="both"/>
        <w:textAlignment w:val="auto"/>
        <w:rPr>
          <w:rFonts w:hint="eastAsia" w:ascii="仿宋_GB2312" w:hAnsi="仿宋_GB2312" w:eastAsia="仿宋_GB2312" w:cs="仿宋_GB2312"/>
          <w:i w:val="0"/>
          <w:caps w:val="0"/>
          <w:color w:val="333333"/>
          <w:spacing w:val="0"/>
          <w:sz w:val="32"/>
          <w:szCs w:val="32"/>
        </w:rPr>
      </w:pPr>
      <w:r>
        <w:rPr>
          <w:rFonts w:hint="eastAsia" w:ascii="楷体_GB2312" w:hAnsi="楷体_GB2312" w:eastAsia="楷体_GB2312" w:cs="楷体_GB2312"/>
          <w:b/>
          <w:bCs/>
          <w:i w:val="0"/>
          <w:caps w:val="0"/>
          <w:color w:val="333333"/>
          <w:spacing w:val="0"/>
          <w:sz w:val="32"/>
          <w:szCs w:val="32"/>
          <w:shd w:val="clear" w:color="auto" w:fill="FFFFFF"/>
        </w:rPr>
        <w:t>第十条</w:t>
      </w:r>
      <w:r>
        <w:rPr>
          <w:rFonts w:hint="eastAsia" w:ascii="仿宋_GB2312" w:hAnsi="仿宋_GB2312" w:eastAsia="仿宋_GB2312" w:cs="仿宋_GB2312"/>
          <w:i w:val="0"/>
          <w:caps w:val="0"/>
          <w:color w:val="333333"/>
          <w:spacing w:val="0"/>
          <w:sz w:val="32"/>
          <w:szCs w:val="32"/>
          <w:shd w:val="clear" w:color="auto" w:fill="FFFFFF"/>
        </w:rPr>
        <w:t> 各地民政部门应会同本级市场监管部门对新建成的老年助餐服务机构开展联合认定，并签订助餐服务协议。科学严谨做好老年助餐服务机构布局优化工作，提升助餐服务质量和水平。</w:t>
      </w:r>
    </w:p>
    <w:p>
      <w:pPr>
        <w:pStyle w:val="2"/>
        <w:keepNext w:val="0"/>
        <w:keepLines w:val="0"/>
        <w:pageBreakBefore w:val="0"/>
        <w:widowControl/>
        <w:suppressLineNumbers w:val="0"/>
        <w:shd w:val="clear" w:color="auto" w:fill="FFFFFF"/>
        <w:kinsoku/>
        <w:wordWrap/>
        <w:overflowPunct/>
        <w:topLinePunct w:val="0"/>
        <w:autoSpaceDE/>
        <w:autoSpaceDN/>
        <w:bidi w:val="0"/>
        <w:adjustRightInd/>
        <w:snapToGrid w:val="0"/>
        <w:spacing w:before="0" w:beforeAutospacing="0" w:after="0" w:afterAutospacing="0" w:line="560" w:lineRule="exact"/>
        <w:ind w:left="0" w:right="0" w:firstLine="420"/>
        <w:jc w:val="both"/>
        <w:textAlignment w:val="auto"/>
        <w:rPr>
          <w:rFonts w:hint="eastAsia" w:ascii="黑体" w:hAnsi="黑体" w:eastAsia="黑体" w:cs="黑体"/>
          <w:i w:val="0"/>
          <w:caps w:val="0"/>
          <w:color w:val="333333"/>
          <w:spacing w:val="0"/>
          <w:sz w:val="32"/>
          <w:szCs w:val="32"/>
          <w:shd w:val="clear" w:color="auto" w:fill="FFFFFF"/>
        </w:rPr>
      </w:pPr>
      <w:r>
        <w:rPr>
          <w:rFonts w:hint="eastAsia" w:ascii="黑体" w:hAnsi="黑体" w:eastAsia="黑体" w:cs="黑体"/>
          <w:i w:val="0"/>
          <w:caps w:val="0"/>
          <w:color w:val="333333"/>
          <w:spacing w:val="0"/>
          <w:sz w:val="32"/>
          <w:szCs w:val="32"/>
          <w:shd w:val="clear" w:color="auto" w:fill="FFFFFF"/>
        </w:rPr>
        <w:t>第三章  退出机制</w:t>
      </w:r>
    </w:p>
    <w:p>
      <w:pPr>
        <w:pStyle w:val="2"/>
        <w:keepNext w:val="0"/>
        <w:keepLines w:val="0"/>
        <w:pageBreakBefore w:val="0"/>
        <w:widowControl/>
        <w:suppressLineNumbers w:val="0"/>
        <w:shd w:val="clear" w:color="auto" w:fill="FFFFFF"/>
        <w:kinsoku/>
        <w:wordWrap/>
        <w:overflowPunct/>
        <w:topLinePunct w:val="0"/>
        <w:autoSpaceDE/>
        <w:autoSpaceDN/>
        <w:bidi w:val="0"/>
        <w:adjustRightInd/>
        <w:snapToGrid w:val="0"/>
        <w:spacing w:before="0" w:beforeAutospacing="0" w:after="0" w:afterAutospacing="0" w:line="560" w:lineRule="exact"/>
        <w:ind w:left="0" w:right="0" w:firstLine="420"/>
        <w:jc w:val="both"/>
        <w:textAlignment w:val="auto"/>
        <w:rPr>
          <w:rFonts w:hint="eastAsia" w:ascii="楷体_GB2312" w:hAnsi="楷体_GB2312" w:eastAsia="楷体_GB2312" w:cs="楷体_GB2312"/>
          <w:b/>
          <w:bCs/>
          <w:i w:val="0"/>
          <w:caps w:val="0"/>
          <w:color w:val="333333"/>
          <w:spacing w:val="0"/>
          <w:sz w:val="32"/>
          <w:szCs w:val="32"/>
          <w:shd w:val="clear" w:color="auto" w:fill="FFFFFF"/>
        </w:rPr>
      </w:pPr>
      <w:r>
        <w:rPr>
          <w:rFonts w:hint="eastAsia" w:ascii="楷体_GB2312" w:hAnsi="楷体_GB2312" w:eastAsia="楷体_GB2312" w:cs="楷体_GB2312"/>
          <w:b/>
          <w:bCs/>
          <w:i w:val="0"/>
          <w:caps w:val="0"/>
          <w:color w:val="333333"/>
          <w:spacing w:val="0"/>
          <w:sz w:val="32"/>
          <w:szCs w:val="32"/>
          <w:shd w:val="clear" w:color="auto" w:fill="FFFFFF"/>
        </w:rPr>
        <w:t>第十一条 老年助餐服务机构有下列情形之一的，取消该老年助餐服务机构资格：</w:t>
      </w:r>
    </w:p>
    <w:p>
      <w:pPr>
        <w:pStyle w:val="2"/>
        <w:keepNext w:val="0"/>
        <w:keepLines w:val="0"/>
        <w:pageBreakBefore w:val="0"/>
        <w:widowControl/>
        <w:suppressLineNumbers w:val="0"/>
        <w:shd w:val="clear" w:color="auto" w:fill="FFFFFF"/>
        <w:kinsoku/>
        <w:wordWrap/>
        <w:overflowPunct/>
        <w:topLinePunct w:val="0"/>
        <w:autoSpaceDE/>
        <w:autoSpaceDN/>
        <w:bidi w:val="0"/>
        <w:adjustRightInd/>
        <w:snapToGrid w:val="0"/>
        <w:spacing w:before="0" w:beforeAutospacing="0" w:after="0" w:afterAutospacing="0" w:line="560" w:lineRule="exact"/>
        <w:ind w:left="0" w:right="0" w:firstLine="42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b/>
          <w:bCs/>
          <w:i w:val="0"/>
          <w:caps w:val="0"/>
          <w:color w:val="333333"/>
          <w:spacing w:val="0"/>
          <w:sz w:val="32"/>
          <w:szCs w:val="32"/>
          <w:shd w:val="clear" w:color="auto" w:fill="FFFFFF"/>
        </w:rPr>
        <w:t>（一）</w:t>
      </w:r>
      <w:r>
        <w:rPr>
          <w:rFonts w:hint="eastAsia" w:ascii="仿宋_GB2312" w:hAnsi="仿宋_GB2312" w:eastAsia="仿宋_GB2312" w:cs="仿宋_GB2312"/>
          <w:i w:val="0"/>
          <w:caps w:val="0"/>
          <w:color w:val="333333"/>
          <w:spacing w:val="0"/>
          <w:sz w:val="32"/>
          <w:szCs w:val="32"/>
          <w:shd w:val="clear" w:color="auto" w:fill="FFFFFF"/>
        </w:rPr>
        <w:t>只挂牌未运营，区县民政部门给予警告后，后期随机检查中再发现只挂牌未运营情况的；</w:t>
      </w:r>
    </w:p>
    <w:p>
      <w:pPr>
        <w:pStyle w:val="2"/>
        <w:keepNext w:val="0"/>
        <w:keepLines w:val="0"/>
        <w:pageBreakBefore w:val="0"/>
        <w:widowControl/>
        <w:suppressLineNumbers w:val="0"/>
        <w:shd w:val="clear" w:color="auto" w:fill="FFFFFF"/>
        <w:kinsoku/>
        <w:wordWrap/>
        <w:overflowPunct/>
        <w:topLinePunct w:val="0"/>
        <w:autoSpaceDE/>
        <w:autoSpaceDN/>
        <w:bidi w:val="0"/>
        <w:adjustRightInd/>
        <w:snapToGrid w:val="0"/>
        <w:spacing w:before="0" w:beforeAutospacing="0" w:after="0" w:afterAutospacing="0" w:line="560" w:lineRule="exact"/>
        <w:ind w:left="0" w:right="0" w:firstLine="42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b/>
          <w:bCs/>
          <w:i w:val="0"/>
          <w:caps w:val="0"/>
          <w:color w:val="333333"/>
          <w:spacing w:val="0"/>
          <w:sz w:val="32"/>
          <w:szCs w:val="32"/>
          <w:shd w:val="clear" w:color="auto" w:fill="FFFFFF"/>
        </w:rPr>
        <w:t>（二）</w:t>
      </w:r>
      <w:r>
        <w:rPr>
          <w:rFonts w:hint="eastAsia" w:ascii="仿宋_GB2312" w:hAnsi="仿宋_GB2312" w:eastAsia="仿宋_GB2312" w:cs="仿宋_GB2312"/>
          <w:i w:val="0"/>
          <w:caps w:val="0"/>
          <w:color w:val="333333"/>
          <w:spacing w:val="0"/>
          <w:sz w:val="32"/>
          <w:szCs w:val="32"/>
          <w:shd w:val="clear" w:color="auto" w:fill="FFFFFF"/>
        </w:rPr>
        <w:t>老年助餐服务机构运营效果不佳，就餐人数过少或老年人就餐满意度低，通过对菜品质量、助餐服务、延伸服务、线上线下宣传等多种措施进行优化改善6个月后，运营效果仍不佳的；</w:t>
      </w:r>
    </w:p>
    <w:p>
      <w:pPr>
        <w:pStyle w:val="2"/>
        <w:keepNext w:val="0"/>
        <w:keepLines w:val="0"/>
        <w:pageBreakBefore w:val="0"/>
        <w:widowControl/>
        <w:suppressLineNumbers w:val="0"/>
        <w:shd w:val="clear" w:color="auto" w:fill="FFFFFF"/>
        <w:kinsoku/>
        <w:wordWrap/>
        <w:overflowPunct/>
        <w:topLinePunct w:val="0"/>
        <w:autoSpaceDE/>
        <w:autoSpaceDN/>
        <w:bidi w:val="0"/>
        <w:adjustRightInd/>
        <w:snapToGrid w:val="0"/>
        <w:spacing w:before="0" w:beforeAutospacing="0" w:after="0" w:afterAutospacing="0" w:line="560" w:lineRule="exact"/>
        <w:ind w:left="0" w:right="0" w:firstLine="42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b/>
          <w:bCs/>
          <w:i w:val="0"/>
          <w:caps w:val="0"/>
          <w:color w:val="333333"/>
          <w:spacing w:val="0"/>
          <w:sz w:val="32"/>
          <w:szCs w:val="32"/>
          <w:shd w:val="clear" w:color="auto" w:fill="FFFFFF"/>
        </w:rPr>
        <w:t>（三）</w:t>
      </w:r>
      <w:r>
        <w:rPr>
          <w:rFonts w:hint="eastAsia" w:ascii="仿宋_GB2312" w:hAnsi="仿宋_GB2312" w:eastAsia="仿宋_GB2312" w:cs="仿宋_GB2312"/>
          <w:i w:val="0"/>
          <w:caps w:val="0"/>
          <w:color w:val="333333"/>
          <w:spacing w:val="0"/>
          <w:sz w:val="32"/>
          <w:szCs w:val="32"/>
          <w:shd w:val="clear" w:color="auto" w:fill="FFFFFF"/>
        </w:rPr>
        <w:t>老年助餐服务机构在各级民政、市场监管等部门开展的相关检查或抽查中存在重大安全隐患问题，拒绝整改或经整改后仍不符合要求的；</w:t>
      </w:r>
    </w:p>
    <w:p>
      <w:pPr>
        <w:pStyle w:val="2"/>
        <w:keepNext w:val="0"/>
        <w:keepLines w:val="0"/>
        <w:pageBreakBefore w:val="0"/>
        <w:widowControl/>
        <w:suppressLineNumbers w:val="0"/>
        <w:shd w:val="clear" w:color="auto" w:fill="FFFFFF"/>
        <w:kinsoku/>
        <w:wordWrap/>
        <w:overflowPunct/>
        <w:topLinePunct w:val="0"/>
        <w:autoSpaceDE/>
        <w:autoSpaceDN/>
        <w:bidi w:val="0"/>
        <w:adjustRightInd/>
        <w:snapToGrid w:val="0"/>
        <w:spacing w:before="0" w:beforeAutospacing="0" w:after="0" w:afterAutospacing="0" w:line="560" w:lineRule="exact"/>
        <w:ind w:left="0" w:right="0" w:firstLine="42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b/>
          <w:bCs/>
          <w:i w:val="0"/>
          <w:caps w:val="0"/>
          <w:color w:val="333333"/>
          <w:spacing w:val="0"/>
          <w:sz w:val="32"/>
          <w:szCs w:val="32"/>
          <w:shd w:val="clear" w:color="auto" w:fill="FFFFFF"/>
        </w:rPr>
        <w:t>（四）</w:t>
      </w:r>
      <w:r>
        <w:rPr>
          <w:rFonts w:hint="eastAsia" w:ascii="仿宋_GB2312" w:hAnsi="仿宋_GB2312" w:eastAsia="仿宋_GB2312" w:cs="仿宋_GB2312"/>
          <w:i w:val="0"/>
          <w:caps w:val="0"/>
          <w:color w:val="333333"/>
          <w:spacing w:val="0"/>
          <w:sz w:val="32"/>
          <w:szCs w:val="32"/>
          <w:shd w:val="clear" w:color="auto" w:fill="FFFFFF"/>
        </w:rPr>
        <w:t>老年助餐服务机构发生食品安全、消防安全等公共安全事件的；</w:t>
      </w:r>
    </w:p>
    <w:p>
      <w:pPr>
        <w:pStyle w:val="2"/>
        <w:keepNext w:val="0"/>
        <w:keepLines w:val="0"/>
        <w:pageBreakBefore w:val="0"/>
        <w:widowControl/>
        <w:suppressLineNumbers w:val="0"/>
        <w:shd w:val="clear" w:color="auto" w:fill="FFFFFF"/>
        <w:kinsoku/>
        <w:wordWrap/>
        <w:overflowPunct/>
        <w:topLinePunct w:val="0"/>
        <w:autoSpaceDE/>
        <w:autoSpaceDN/>
        <w:bidi w:val="0"/>
        <w:adjustRightInd/>
        <w:snapToGrid w:val="0"/>
        <w:spacing w:before="0" w:beforeAutospacing="0" w:after="0" w:afterAutospacing="0" w:line="560" w:lineRule="exact"/>
        <w:ind w:left="0" w:right="0" w:firstLine="42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b/>
          <w:bCs/>
          <w:i w:val="0"/>
          <w:caps w:val="0"/>
          <w:color w:val="333333"/>
          <w:spacing w:val="0"/>
          <w:sz w:val="32"/>
          <w:szCs w:val="32"/>
          <w:shd w:val="clear" w:color="auto" w:fill="FFFFFF"/>
        </w:rPr>
        <w:t>（五）</w:t>
      </w:r>
      <w:r>
        <w:rPr>
          <w:rFonts w:hint="eastAsia" w:ascii="仿宋_GB2312" w:hAnsi="仿宋_GB2312" w:eastAsia="仿宋_GB2312" w:cs="仿宋_GB2312"/>
          <w:i w:val="0"/>
          <w:caps w:val="0"/>
          <w:color w:val="333333"/>
          <w:spacing w:val="0"/>
          <w:sz w:val="32"/>
          <w:szCs w:val="32"/>
          <w:shd w:val="clear" w:color="auto" w:fill="FFFFFF"/>
        </w:rPr>
        <w:t>经核实老年助餐服务机构存在不规范服务经营、编报虚假就餐信息、套取政府补贴资金， 整改后仍存在违规经营的。</w:t>
      </w:r>
    </w:p>
    <w:p>
      <w:pPr>
        <w:pStyle w:val="2"/>
        <w:keepNext w:val="0"/>
        <w:keepLines w:val="0"/>
        <w:pageBreakBefore w:val="0"/>
        <w:widowControl/>
        <w:suppressLineNumbers w:val="0"/>
        <w:shd w:val="clear" w:color="auto" w:fill="FFFFFF"/>
        <w:kinsoku/>
        <w:wordWrap/>
        <w:overflowPunct/>
        <w:topLinePunct w:val="0"/>
        <w:autoSpaceDE/>
        <w:autoSpaceDN/>
        <w:bidi w:val="0"/>
        <w:adjustRightInd/>
        <w:snapToGrid w:val="0"/>
        <w:spacing w:before="0" w:beforeAutospacing="0" w:after="0" w:afterAutospacing="0" w:line="560" w:lineRule="exact"/>
        <w:ind w:left="0" w:right="0" w:firstLine="420"/>
        <w:jc w:val="both"/>
        <w:textAlignment w:val="auto"/>
        <w:rPr>
          <w:rFonts w:hint="eastAsia" w:ascii="黑体" w:hAnsi="黑体" w:eastAsia="黑体" w:cs="黑体"/>
          <w:i w:val="0"/>
          <w:caps w:val="0"/>
          <w:color w:val="333333"/>
          <w:spacing w:val="0"/>
          <w:sz w:val="32"/>
          <w:szCs w:val="32"/>
          <w:shd w:val="clear" w:color="auto" w:fill="FFFFFF"/>
        </w:rPr>
      </w:pPr>
      <w:r>
        <w:rPr>
          <w:rFonts w:hint="eastAsia" w:ascii="黑体" w:hAnsi="黑体" w:eastAsia="黑体" w:cs="黑体"/>
          <w:i w:val="0"/>
          <w:caps w:val="0"/>
          <w:color w:val="333333"/>
          <w:spacing w:val="0"/>
          <w:sz w:val="32"/>
          <w:szCs w:val="32"/>
          <w:shd w:val="clear" w:color="auto" w:fill="FFFFFF"/>
        </w:rPr>
        <w:t>第四章  退出程序</w:t>
      </w:r>
    </w:p>
    <w:p>
      <w:pPr>
        <w:pStyle w:val="2"/>
        <w:keepNext w:val="0"/>
        <w:keepLines w:val="0"/>
        <w:pageBreakBefore w:val="0"/>
        <w:widowControl/>
        <w:suppressLineNumbers w:val="0"/>
        <w:shd w:val="clear" w:color="auto" w:fill="FFFFFF"/>
        <w:kinsoku/>
        <w:wordWrap/>
        <w:overflowPunct/>
        <w:topLinePunct w:val="0"/>
        <w:autoSpaceDE/>
        <w:autoSpaceDN/>
        <w:bidi w:val="0"/>
        <w:adjustRightInd/>
        <w:snapToGrid w:val="0"/>
        <w:spacing w:before="0" w:beforeAutospacing="0" w:after="0" w:afterAutospacing="0" w:line="560" w:lineRule="exact"/>
        <w:ind w:left="0" w:right="0" w:firstLine="420"/>
        <w:jc w:val="both"/>
        <w:textAlignment w:val="auto"/>
        <w:rPr>
          <w:rFonts w:hint="eastAsia" w:ascii="仿宋_GB2312" w:hAnsi="仿宋_GB2312" w:eastAsia="仿宋_GB2312" w:cs="仿宋_GB2312"/>
          <w:i w:val="0"/>
          <w:caps w:val="0"/>
          <w:color w:val="333333"/>
          <w:spacing w:val="0"/>
          <w:sz w:val="32"/>
          <w:szCs w:val="32"/>
        </w:rPr>
      </w:pPr>
      <w:r>
        <w:rPr>
          <w:rFonts w:hint="eastAsia" w:ascii="楷体_GB2312" w:hAnsi="楷体_GB2312" w:eastAsia="楷体_GB2312" w:cs="楷体_GB2312"/>
          <w:b/>
          <w:bCs/>
          <w:i w:val="0"/>
          <w:caps w:val="0"/>
          <w:color w:val="333333"/>
          <w:spacing w:val="0"/>
          <w:sz w:val="32"/>
          <w:szCs w:val="32"/>
          <w:shd w:val="clear" w:color="auto" w:fill="FFFFFF"/>
        </w:rPr>
        <w:t>第十二条</w:t>
      </w:r>
      <w:r>
        <w:rPr>
          <w:rFonts w:hint="eastAsia" w:ascii="仿宋_GB2312" w:hAnsi="仿宋_GB2312" w:eastAsia="仿宋_GB2312" w:cs="仿宋_GB2312"/>
          <w:i w:val="0"/>
          <w:caps w:val="0"/>
          <w:color w:val="333333"/>
          <w:spacing w:val="0"/>
          <w:sz w:val="32"/>
          <w:szCs w:val="32"/>
          <w:shd w:val="clear" w:color="auto" w:fill="FFFFFF"/>
        </w:rPr>
        <w:t> 各区县民政部门通过助餐系统平台、实地检查、老人反馈等多渠道动态了解老年助餐服务机构运营状态，及时梳理合同期满不再续约或者提前解除合同的老年助餐服务机构名单，每半年汇总《黄山市老年助餐服务机构退出申请表》并向市民政部门报备，同时更新运营机构名单，以适当的方式向社会公开。</w:t>
      </w:r>
    </w:p>
    <w:p>
      <w:pPr>
        <w:pStyle w:val="2"/>
        <w:keepNext w:val="0"/>
        <w:keepLines w:val="0"/>
        <w:pageBreakBefore w:val="0"/>
        <w:widowControl/>
        <w:suppressLineNumbers w:val="0"/>
        <w:shd w:val="clear" w:color="auto" w:fill="FFFFFF"/>
        <w:kinsoku/>
        <w:wordWrap/>
        <w:overflowPunct/>
        <w:topLinePunct w:val="0"/>
        <w:autoSpaceDE/>
        <w:autoSpaceDN/>
        <w:bidi w:val="0"/>
        <w:adjustRightInd/>
        <w:snapToGrid w:val="0"/>
        <w:spacing w:before="0" w:beforeAutospacing="0" w:after="0" w:afterAutospacing="0" w:line="560" w:lineRule="exact"/>
        <w:ind w:left="0" w:right="0" w:firstLine="420"/>
        <w:jc w:val="both"/>
        <w:textAlignment w:val="auto"/>
        <w:rPr>
          <w:rFonts w:hint="eastAsia" w:ascii="仿宋_GB2312" w:hAnsi="仿宋_GB2312" w:eastAsia="仿宋_GB2312" w:cs="仿宋_GB2312"/>
          <w:i w:val="0"/>
          <w:caps w:val="0"/>
          <w:color w:val="333333"/>
          <w:spacing w:val="0"/>
          <w:sz w:val="32"/>
          <w:szCs w:val="32"/>
        </w:rPr>
      </w:pPr>
      <w:r>
        <w:rPr>
          <w:rFonts w:hint="eastAsia" w:ascii="楷体_GB2312" w:hAnsi="楷体_GB2312" w:eastAsia="楷体_GB2312" w:cs="楷体_GB2312"/>
          <w:b/>
          <w:bCs/>
          <w:i w:val="0"/>
          <w:caps w:val="0"/>
          <w:color w:val="333333"/>
          <w:spacing w:val="0"/>
          <w:sz w:val="32"/>
          <w:szCs w:val="32"/>
          <w:shd w:val="clear" w:color="auto" w:fill="FFFFFF"/>
        </w:rPr>
        <w:t>第十三条</w:t>
      </w:r>
      <w:r>
        <w:rPr>
          <w:rFonts w:hint="eastAsia" w:ascii="仿宋_GB2312" w:hAnsi="仿宋_GB2312" w:eastAsia="仿宋_GB2312" w:cs="仿宋_GB2312"/>
          <w:i w:val="0"/>
          <w:caps w:val="0"/>
          <w:color w:val="333333"/>
          <w:spacing w:val="0"/>
          <w:sz w:val="32"/>
          <w:szCs w:val="32"/>
          <w:shd w:val="clear" w:color="auto" w:fill="FFFFFF"/>
        </w:rPr>
        <w:t> 做好老年助餐服务有效衔接工作，在现有老年助餐服务布局基础上进行动态调整，切不可“一退了之”。在新的老年助餐服务机构未启用前，原老年助餐服务机构应继续维持运营或转移服务至周边其他老年助餐服务机构。明确变更调整后，老年助餐服务机构应第一时间在原点张贴告知单，并做好日常就餐老年人的解释引导工作，让老人和家属及时知晓。</w:t>
      </w:r>
    </w:p>
    <w:p>
      <w:pPr>
        <w:pStyle w:val="2"/>
        <w:keepNext w:val="0"/>
        <w:keepLines w:val="0"/>
        <w:pageBreakBefore w:val="0"/>
        <w:widowControl/>
        <w:suppressLineNumbers w:val="0"/>
        <w:shd w:val="clear" w:color="auto" w:fill="FFFFFF"/>
        <w:kinsoku/>
        <w:wordWrap/>
        <w:overflowPunct/>
        <w:topLinePunct w:val="0"/>
        <w:autoSpaceDE/>
        <w:autoSpaceDN/>
        <w:bidi w:val="0"/>
        <w:adjustRightInd/>
        <w:snapToGrid w:val="0"/>
        <w:spacing w:before="0" w:beforeAutospacing="0" w:after="0" w:afterAutospacing="0" w:line="560" w:lineRule="exact"/>
        <w:ind w:left="0" w:right="0" w:firstLine="420"/>
        <w:jc w:val="both"/>
        <w:textAlignment w:val="auto"/>
        <w:rPr>
          <w:rFonts w:hint="eastAsia" w:ascii="仿宋_GB2312" w:hAnsi="仿宋_GB2312" w:eastAsia="仿宋_GB2312" w:cs="仿宋_GB2312"/>
          <w:i w:val="0"/>
          <w:caps w:val="0"/>
          <w:color w:val="333333"/>
          <w:spacing w:val="0"/>
          <w:sz w:val="32"/>
          <w:szCs w:val="32"/>
        </w:rPr>
      </w:pPr>
      <w:r>
        <w:rPr>
          <w:rFonts w:hint="eastAsia" w:ascii="楷体_GB2312" w:hAnsi="楷体_GB2312" w:eastAsia="楷体_GB2312" w:cs="楷体_GB2312"/>
          <w:b/>
          <w:bCs/>
          <w:i w:val="0"/>
          <w:caps w:val="0"/>
          <w:color w:val="333333"/>
          <w:spacing w:val="0"/>
          <w:sz w:val="32"/>
          <w:szCs w:val="32"/>
          <w:shd w:val="clear" w:color="auto" w:fill="FFFFFF"/>
        </w:rPr>
        <w:t>第十四条</w:t>
      </w:r>
      <w:r>
        <w:rPr>
          <w:rFonts w:hint="eastAsia" w:ascii="仿宋_GB2312" w:hAnsi="仿宋_GB2312" w:eastAsia="仿宋_GB2312" w:cs="仿宋_GB2312"/>
          <w:i w:val="0"/>
          <w:caps w:val="0"/>
          <w:color w:val="333333"/>
          <w:spacing w:val="0"/>
          <w:sz w:val="32"/>
          <w:szCs w:val="32"/>
          <w:shd w:val="clear" w:color="auto" w:fill="FFFFFF"/>
        </w:rPr>
        <w:t> 对于享受水电气执行居民价格的老年助餐服务机构，在其不再从事老年助餐服务时，老年助餐服务机构要及时告知水电气经营企业，并至营业网点办理变更手续，未及时办理价格变更手续的，水电气经营企业可按照约定追回相关差额费用。</w:t>
      </w:r>
    </w:p>
    <w:p>
      <w:pPr>
        <w:pStyle w:val="2"/>
        <w:keepNext w:val="0"/>
        <w:keepLines w:val="0"/>
        <w:pageBreakBefore w:val="0"/>
        <w:widowControl/>
        <w:suppressLineNumbers w:val="0"/>
        <w:shd w:val="clear" w:color="auto" w:fill="FFFFFF"/>
        <w:kinsoku/>
        <w:wordWrap/>
        <w:overflowPunct/>
        <w:topLinePunct w:val="0"/>
        <w:autoSpaceDE/>
        <w:autoSpaceDN/>
        <w:bidi w:val="0"/>
        <w:adjustRightInd/>
        <w:snapToGrid w:val="0"/>
        <w:spacing w:before="0" w:beforeAutospacing="0" w:after="0" w:afterAutospacing="0" w:line="560" w:lineRule="exact"/>
        <w:ind w:left="0" w:right="0" w:firstLine="420"/>
        <w:jc w:val="both"/>
        <w:textAlignment w:val="auto"/>
        <w:rPr>
          <w:rFonts w:hint="eastAsia" w:ascii="仿宋_GB2312" w:hAnsi="仿宋_GB2312" w:eastAsia="仿宋_GB2312" w:cs="仿宋_GB2312"/>
          <w:i w:val="0"/>
          <w:caps w:val="0"/>
          <w:color w:val="333333"/>
          <w:spacing w:val="0"/>
          <w:sz w:val="32"/>
          <w:szCs w:val="32"/>
        </w:rPr>
      </w:pPr>
      <w:r>
        <w:rPr>
          <w:rFonts w:hint="eastAsia" w:ascii="楷体_GB2312" w:hAnsi="楷体_GB2312" w:eastAsia="楷体_GB2312" w:cs="楷体_GB2312"/>
          <w:b/>
          <w:bCs/>
          <w:i w:val="0"/>
          <w:caps w:val="0"/>
          <w:color w:val="333333"/>
          <w:spacing w:val="0"/>
          <w:sz w:val="32"/>
          <w:szCs w:val="32"/>
          <w:shd w:val="clear" w:color="auto" w:fill="FFFFFF"/>
        </w:rPr>
        <w:t>第十五条 </w:t>
      </w:r>
      <w:r>
        <w:rPr>
          <w:rFonts w:hint="eastAsia" w:ascii="仿宋_GB2312" w:hAnsi="仿宋_GB2312" w:eastAsia="仿宋_GB2312" w:cs="仿宋_GB2312"/>
          <w:i w:val="0"/>
          <w:caps w:val="0"/>
          <w:color w:val="333333"/>
          <w:spacing w:val="0"/>
          <w:sz w:val="32"/>
          <w:szCs w:val="32"/>
          <w:shd w:val="clear" w:color="auto" w:fill="FFFFFF"/>
        </w:rPr>
        <w:t>已申领老年助餐服务系统设备的老年助餐服务机构，退出时要及时退还老年助餐服务系统设备，并由各区县民政部门统一调配，若设备出现人为损坏、设备遗失等情况，相关维修、更换费用由原老年助餐服务机构承担。</w:t>
      </w:r>
    </w:p>
    <w:p>
      <w:pPr>
        <w:pStyle w:val="2"/>
        <w:keepNext w:val="0"/>
        <w:keepLines w:val="0"/>
        <w:pageBreakBefore w:val="0"/>
        <w:widowControl/>
        <w:suppressLineNumbers w:val="0"/>
        <w:shd w:val="clear" w:color="auto" w:fill="FFFFFF"/>
        <w:kinsoku/>
        <w:wordWrap/>
        <w:overflowPunct/>
        <w:topLinePunct w:val="0"/>
        <w:autoSpaceDE/>
        <w:autoSpaceDN/>
        <w:bidi w:val="0"/>
        <w:adjustRightInd/>
        <w:snapToGrid w:val="0"/>
        <w:spacing w:before="0" w:beforeAutospacing="0" w:after="0" w:afterAutospacing="0" w:line="560" w:lineRule="exact"/>
        <w:ind w:left="0" w:right="0" w:firstLine="420"/>
        <w:jc w:val="both"/>
        <w:textAlignment w:val="auto"/>
        <w:rPr>
          <w:rFonts w:hint="eastAsia" w:ascii="黑体" w:hAnsi="黑体" w:eastAsia="黑体" w:cs="黑体"/>
          <w:i w:val="0"/>
          <w:caps w:val="0"/>
          <w:color w:val="333333"/>
          <w:spacing w:val="0"/>
          <w:sz w:val="32"/>
          <w:szCs w:val="32"/>
          <w:shd w:val="clear" w:color="auto" w:fill="FFFFFF"/>
        </w:rPr>
      </w:pPr>
      <w:r>
        <w:rPr>
          <w:rFonts w:hint="eastAsia" w:ascii="黑体" w:hAnsi="黑体" w:eastAsia="黑体" w:cs="黑体"/>
          <w:i w:val="0"/>
          <w:caps w:val="0"/>
          <w:color w:val="333333"/>
          <w:spacing w:val="0"/>
          <w:sz w:val="32"/>
          <w:szCs w:val="32"/>
          <w:shd w:val="clear" w:color="auto" w:fill="FFFFFF"/>
        </w:rPr>
        <w:t>第五章  资金管理</w:t>
      </w:r>
    </w:p>
    <w:p>
      <w:pPr>
        <w:pStyle w:val="2"/>
        <w:keepNext w:val="0"/>
        <w:keepLines w:val="0"/>
        <w:pageBreakBefore w:val="0"/>
        <w:widowControl/>
        <w:suppressLineNumbers w:val="0"/>
        <w:shd w:val="clear" w:color="auto" w:fill="FFFFFF"/>
        <w:kinsoku/>
        <w:wordWrap/>
        <w:overflowPunct/>
        <w:topLinePunct w:val="0"/>
        <w:autoSpaceDE/>
        <w:autoSpaceDN/>
        <w:bidi w:val="0"/>
        <w:adjustRightInd/>
        <w:snapToGrid w:val="0"/>
        <w:spacing w:before="0" w:beforeAutospacing="0" w:after="0" w:afterAutospacing="0" w:line="560" w:lineRule="exact"/>
        <w:ind w:left="0" w:right="0" w:firstLine="420"/>
        <w:jc w:val="both"/>
        <w:textAlignment w:val="auto"/>
        <w:rPr>
          <w:rFonts w:hint="eastAsia" w:ascii="仿宋_GB2312" w:hAnsi="仿宋_GB2312" w:eastAsia="仿宋_GB2312" w:cs="仿宋_GB2312"/>
          <w:i w:val="0"/>
          <w:caps w:val="0"/>
          <w:color w:val="333333"/>
          <w:spacing w:val="0"/>
          <w:sz w:val="32"/>
          <w:szCs w:val="32"/>
        </w:rPr>
      </w:pPr>
      <w:r>
        <w:rPr>
          <w:rFonts w:hint="eastAsia" w:ascii="楷体_GB2312" w:hAnsi="楷体_GB2312" w:eastAsia="楷体_GB2312" w:cs="楷体_GB2312"/>
          <w:b/>
          <w:bCs/>
          <w:i w:val="0"/>
          <w:caps w:val="0"/>
          <w:color w:val="333333"/>
          <w:spacing w:val="0"/>
          <w:sz w:val="32"/>
          <w:szCs w:val="32"/>
          <w:shd w:val="clear" w:color="auto" w:fill="FFFFFF"/>
        </w:rPr>
        <w:t>第十六条</w:t>
      </w:r>
      <w:r>
        <w:rPr>
          <w:rFonts w:hint="eastAsia" w:ascii="仿宋_GB2312" w:hAnsi="仿宋_GB2312" w:eastAsia="仿宋_GB2312" w:cs="仿宋_GB2312"/>
          <w:i w:val="0"/>
          <w:caps w:val="0"/>
          <w:color w:val="333333"/>
          <w:spacing w:val="0"/>
          <w:sz w:val="32"/>
          <w:szCs w:val="32"/>
          <w:shd w:val="clear" w:color="auto" w:fill="FFFFFF"/>
        </w:rPr>
        <w:t> 为推进全市老年助餐服务机构可持续有质量发展，对于新增且承诺运营3年以上的老年助餐服务机构，由区县民政部门审核后拨付建设补贴、老年人助餐补贴及运营补贴，财政部门要落实好老年助餐各项补助资金支持保障，加强资金使用监管，推进老年助餐服务健康持续运营。</w:t>
      </w:r>
    </w:p>
    <w:p>
      <w:pPr>
        <w:pStyle w:val="2"/>
        <w:keepNext w:val="0"/>
        <w:keepLines w:val="0"/>
        <w:pageBreakBefore w:val="0"/>
        <w:widowControl/>
        <w:suppressLineNumbers w:val="0"/>
        <w:shd w:val="clear" w:color="auto" w:fill="FFFFFF"/>
        <w:kinsoku/>
        <w:wordWrap/>
        <w:overflowPunct/>
        <w:topLinePunct w:val="0"/>
        <w:autoSpaceDE/>
        <w:autoSpaceDN/>
        <w:bidi w:val="0"/>
        <w:adjustRightInd/>
        <w:snapToGrid w:val="0"/>
        <w:spacing w:before="0" w:beforeAutospacing="0" w:after="0" w:afterAutospacing="0" w:line="560" w:lineRule="exact"/>
        <w:ind w:left="0" w:right="0" w:firstLine="420"/>
        <w:jc w:val="both"/>
        <w:textAlignment w:val="auto"/>
        <w:rPr>
          <w:rFonts w:hint="eastAsia" w:ascii="仿宋_GB2312" w:hAnsi="仿宋_GB2312" w:eastAsia="仿宋_GB2312" w:cs="仿宋_GB2312"/>
          <w:i w:val="0"/>
          <w:caps w:val="0"/>
          <w:color w:val="333333"/>
          <w:spacing w:val="0"/>
          <w:sz w:val="32"/>
          <w:szCs w:val="32"/>
        </w:rPr>
      </w:pPr>
      <w:r>
        <w:rPr>
          <w:rFonts w:hint="eastAsia" w:ascii="楷体_GB2312" w:hAnsi="楷体_GB2312" w:eastAsia="楷体_GB2312" w:cs="楷体_GB2312"/>
          <w:b/>
          <w:bCs/>
          <w:i w:val="0"/>
          <w:caps w:val="0"/>
          <w:color w:val="333333"/>
          <w:spacing w:val="0"/>
          <w:sz w:val="32"/>
          <w:szCs w:val="32"/>
          <w:shd w:val="clear" w:color="auto" w:fill="FFFFFF"/>
        </w:rPr>
        <w:t>第十七条 </w:t>
      </w:r>
      <w:r>
        <w:rPr>
          <w:rFonts w:hint="eastAsia" w:ascii="仿宋_GB2312" w:hAnsi="仿宋_GB2312" w:eastAsia="仿宋_GB2312" w:cs="仿宋_GB2312"/>
          <w:i w:val="0"/>
          <w:caps w:val="0"/>
          <w:color w:val="333333"/>
          <w:spacing w:val="0"/>
          <w:sz w:val="32"/>
          <w:szCs w:val="32"/>
          <w:shd w:val="clear" w:color="auto" w:fill="FFFFFF"/>
        </w:rPr>
        <w:t>自2024年起，新增老年助餐服务机构凭《黄山市老年助餐服务机构认定表》向区县民政部门申报建设补贴，建议自老年助餐服务机构运营之日起，按照第一年40%、第二年30%、第三年30%的比例分批发放。对于运营不满3年申请退出的老年助餐服务机构，自退出之日起，停止发放当年建设补贴。</w:t>
      </w:r>
    </w:p>
    <w:p>
      <w:pPr>
        <w:pStyle w:val="2"/>
        <w:keepNext w:val="0"/>
        <w:keepLines w:val="0"/>
        <w:pageBreakBefore w:val="0"/>
        <w:widowControl/>
        <w:suppressLineNumbers w:val="0"/>
        <w:shd w:val="clear" w:color="auto" w:fill="FFFFFF"/>
        <w:kinsoku/>
        <w:wordWrap/>
        <w:overflowPunct/>
        <w:topLinePunct w:val="0"/>
        <w:autoSpaceDE/>
        <w:autoSpaceDN/>
        <w:bidi w:val="0"/>
        <w:adjustRightInd/>
        <w:snapToGrid w:val="0"/>
        <w:spacing w:before="0" w:beforeAutospacing="0" w:after="0" w:afterAutospacing="0" w:line="560" w:lineRule="exact"/>
        <w:ind w:left="0" w:right="0" w:firstLine="420"/>
        <w:jc w:val="both"/>
        <w:textAlignment w:val="auto"/>
        <w:rPr>
          <w:rFonts w:hint="eastAsia" w:ascii="仿宋_GB2312" w:hAnsi="仿宋_GB2312" w:eastAsia="仿宋_GB2312" w:cs="仿宋_GB2312"/>
          <w:i w:val="0"/>
          <w:caps w:val="0"/>
          <w:color w:val="333333"/>
          <w:spacing w:val="0"/>
          <w:sz w:val="32"/>
          <w:szCs w:val="32"/>
        </w:rPr>
      </w:pPr>
      <w:r>
        <w:rPr>
          <w:rFonts w:hint="eastAsia" w:ascii="楷体_GB2312" w:hAnsi="楷体_GB2312" w:eastAsia="楷体_GB2312" w:cs="楷体_GB2312"/>
          <w:b/>
          <w:bCs/>
          <w:i w:val="0"/>
          <w:caps w:val="0"/>
          <w:color w:val="333333"/>
          <w:spacing w:val="0"/>
          <w:sz w:val="32"/>
          <w:szCs w:val="32"/>
          <w:shd w:val="clear" w:color="auto" w:fill="FFFFFF"/>
        </w:rPr>
        <w:t>第十八条</w:t>
      </w:r>
      <w:r>
        <w:rPr>
          <w:rFonts w:hint="eastAsia" w:ascii="仿宋_GB2312" w:hAnsi="仿宋_GB2312" w:eastAsia="仿宋_GB2312" w:cs="仿宋_GB2312"/>
          <w:i w:val="0"/>
          <w:caps w:val="0"/>
          <w:color w:val="333333"/>
          <w:spacing w:val="0"/>
          <w:sz w:val="32"/>
          <w:szCs w:val="32"/>
          <w:shd w:val="clear" w:color="auto" w:fill="FFFFFF"/>
        </w:rPr>
        <w:t> 老年人助餐补贴原则上经区县民政部门按季度核实后拨付，申请退出的老年助餐服务机构，老年人助餐补贴发放至运营结束为止。</w:t>
      </w:r>
    </w:p>
    <w:p>
      <w:pPr>
        <w:pStyle w:val="2"/>
        <w:keepNext w:val="0"/>
        <w:keepLines w:val="0"/>
        <w:pageBreakBefore w:val="0"/>
        <w:widowControl/>
        <w:suppressLineNumbers w:val="0"/>
        <w:shd w:val="clear" w:color="auto" w:fill="FFFFFF"/>
        <w:kinsoku/>
        <w:wordWrap/>
        <w:overflowPunct/>
        <w:topLinePunct w:val="0"/>
        <w:autoSpaceDE/>
        <w:autoSpaceDN/>
        <w:bidi w:val="0"/>
        <w:adjustRightInd/>
        <w:snapToGrid w:val="0"/>
        <w:spacing w:before="0" w:beforeAutospacing="0" w:after="0" w:afterAutospacing="0" w:line="560" w:lineRule="exact"/>
        <w:ind w:left="0" w:right="0" w:firstLine="420"/>
        <w:jc w:val="both"/>
        <w:textAlignment w:val="auto"/>
        <w:rPr>
          <w:rFonts w:hint="eastAsia" w:ascii="仿宋_GB2312" w:hAnsi="仿宋_GB2312" w:eastAsia="仿宋_GB2312" w:cs="仿宋_GB2312"/>
          <w:i w:val="0"/>
          <w:caps w:val="0"/>
          <w:color w:val="333333"/>
          <w:spacing w:val="0"/>
          <w:sz w:val="32"/>
          <w:szCs w:val="32"/>
        </w:rPr>
      </w:pPr>
      <w:r>
        <w:rPr>
          <w:rFonts w:hint="eastAsia" w:ascii="楷体_GB2312" w:hAnsi="楷体_GB2312" w:eastAsia="楷体_GB2312" w:cs="楷体_GB2312"/>
          <w:b/>
          <w:bCs/>
          <w:i w:val="0"/>
          <w:caps w:val="0"/>
          <w:color w:val="333333"/>
          <w:spacing w:val="0"/>
          <w:sz w:val="32"/>
          <w:szCs w:val="32"/>
          <w:shd w:val="clear" w:color="auto" w:fill="FFFFFF"/>
        </w:rPr>
        <w:t>第十九条</w:t>
      </w:r>
      <w:r>
        <w:rPr>
          <w:rFonts w:hint="eastAsia" w:ascii="仿宋_GB2312" w:hAnsi="仿宋_GB2312" w:eastAsia="仿宋_GB2312" w:cs="仿宋_GB2312"/>
          <w:i w:val="0"/>
          <w:caps w:val="0"/>
          <w:color w:val="333333"/>
          <w:spacing w:val="0"/>
          <w:sz w:val="32"/>
          <w:szCs w:val="32"/>
          <w:shd w:val="clear" w:color="auto" w:fill="FFFFFF"/>
        </w:rPr>
        <w:t> 运营补贴按照各地出台的具体文件执行。</w:t>
      </w:r>
    </w:p>
    <w:p>
      <w:pPr>
        <w:pStyle w:val="2"/>
        <w:keepNext w:val="0"/>
        <w:keepLines w:val="0"/>
        <w:pageBreakBefore w:val="0"/>
        <w:widowControl/>
        <w:suppressLineNumbers w:val="0"/>
        <w:shd w:val="clear" w:color="auto" w:fill="FFFFFF"/>
        <w:kinsoku/>
        <w:wordWrap/>
        <w:overflowPunct/>
        <w:topLinePunct w:val="0"/>
        <w:autoSpaceDE/>
        <w:autoSpaceDN/>
        <w:bidi w:val="0"/>
        <w:adjustRightInd/>
        <w:snapToGrid w:val="0"/>
        <w:spacing w:before="0" w:beforeAutospacing="0" w:after="0" w:afterAutospacing="0" w:line="560" w:lineRule="exact"/>
        <w:ind w:left="0" w:right="0" w:firstLine="420"/>
        <w:jc w:val="both"/>
        <w:textAlignment w:val="auto"/>
        <w:rPr>
          <w:rFonts w:hint="eastAsia" w:ascii="黑体" w:hAnsi="黑体" w:eastAsia="黑体" w:cs="黑体"/>
          <w:i w:val="0"/>
          <w:caps w:val="0"/>
          <w:color w:val="333333"/>
          <w:spacing w:val="0"/>
          <w:sz w:val="32"/>
          <w:szCs w:val="32"/>
          <w:shd w:val="clear" w:color="auto" w:fill="FFFFFF"/>
        </w:rPr>
      </w:pPr>
      <w:r>
        <w:rPr>
          <w:rFonts w:hint="eastAsia" w:ascii="黑体" w:hAnsi="黑体" w:eastAsia="黑体" w:cs="黑体"/>
          <w:i w:val="0"/>
          <w:caps w:val="0"/>
          <w:color w:val="333333"/>
          <w:spacing w:val="0"/>
          <w:sz w:val="32"/>
          <w:szCs w:val="32"/>
          <w:shd w:val="clear" w:color="auto" w:fill="FFFFFF"/>
        </w:rPr>
        <w:t>第六章  附则</w:t>
      </w:r>
    </w:p>
    <w:p>
      <w:pPr>
        <w:pStyle w:val="2"/>
        <w:keepNext w:val="0"/>
        <w:keepLines w:val="0"/>
        <w:pageBreakBefore w:val="0"/>
        <w:widowControl/>
        <w:suppressLineNumbers w:val="0"/>
        <w:shd w:val="clear" w:color="auto" w:fill="FFFFFF"/>
        <w:kinsoku/>
        <w:wordWrap/>
        <w:overflowPunct/>
        <w:topLinePunct w:val="0"/>
        <w:autoSpaceDE/>
        <w:autoSpaceDN/>
        <w:bidi w:val="0"/>
        <w:adjustRightInd/>
        <w:snapToGrid w:val="0"/>
        <w:spacing w:before="0" w:beforeAutospacing="0" w:after="0" w:afterAutospacing="0" w:line="560" w:lineRule="exact"/>
        <w:ind w:left="0" w:right="0" w:firstLine="420"/>
        <w:jc w:val="both"/>
        <w:textAlignment w:val="auto"/>
        <w:rPr>
          <w:rFonts w:hint="eastAsia" w:ascii="仿宋_GB2312" w:hAnsi="仿宋_GB2312" w:eastAsia="仿宋_GB2312" w:cs="仿宋_GB2312"/>
          <w:i w:val="0"/>
          <w:caps w:val="0"/>
          <w:color w:val="333333"/>
          <w:spacing w:val="0"/>
          <w:sz w:val="32"/>
          <w:szCs w:val="32"/>
        </w:rPr>
      </w:pPr>
      <w:r>
        <w:rPr>
          <w:rFonts w:hint="eastAsia" w:ascii="楷体_GB2312" w:hAnsi="楷体_GB2312" w:eastAsia="楷体_GB2312" w:cs="楷体_GB2312"/>
          <w:b/>
          <w:bCs/>
          <w:i w:val="0"/>
          <w:caps w:val="0"/>
          <w:color w:val="333333"/>
          <w:spacing w:val="0"/>
          <w:sz w:val="32"/>
          <w:szCs w:val="32"/>
          <w:shd w:val="clear" w:color="auto" w:fill="FFFFFF"/>
        </w:rPr>
        <w:t>第二十条</w:t>
      </w:r>
      <w:r>
        <w:rPr>
          <w:rFonts w:hint="eastAsia" w:ascii="仿宋_GB2312" w:hAnsi="仿宋_GB2312" w:eastAsia="仿宋_GB2312" w:cs="仿宋_GB2312"/>
          <w:i w:val="0"/>
          <w:caps w:val="0"/>
          <w:color w:val="333333"/>
          <w:spacing w:val="0"/>
          <w:sz w:val="32"/>
          <w:szCs w:val="32"/>
          <w:shd w:val="clear" w:color="auto" w:fill="FFFFFF"/>
        </w:rPr>
        <w:t> 各区县民政部门可根据实际情况，制定具体细则。</w:t>
      </w:r>
    </w:p>
    <w:p>
      <w:pPr>
        <w:pStyle w:val="2"/>
        <w:keepNext w:val="0"/>
        <w:keepLines w:val="0"/>
        <w:pageBreakBefore w:val="0"/>
        <w:widowControl/>
        <w:suppressLineNumbers w:val="0"/>
        <w:shd w:val="clear" w:color="auto" w:fill="FFFFFF"/>
        <w:kinsoku/>
        <w:wordWrap/>
        <w:overflowPunct/>
        <w:topLinePunct w:val="0"/>
        <w:autoSpaceDE/>
        <w:autoSpaceDN/>
        <w:bidi w:val="0"/>
        <w:adjustRightInd/>
        <w:snapToGrid w:val="0"/>
        <w:spacing w:before="0" w:beforeAutospacing="0" w:after="0" w:afterAutospacing="0" w:line="560" w:lineRule="exact"/>
        <w:ind w:left="0" w:right="0" w:firstLine="420"/>
        <w:jc w:val="both"/>
        <w:textAlignment w:val="auto"/>
        <w:rPr>
          <w:rFonts w:hint="eastAsia" w:ascii="仿宋_GB2312" w:hAnsi="仿宋_GB2312" w:eastAsia="仿宋_GB2312" w:cs="仿宋_GB2312"/>
          <w:i w:val="0"/>
          <w:caps w:val="0"/>
          <w:color w:val="333333"/>
          <w:spacing w:val="0"/>
          <w:sz w:val="32"/>
          <w:szCs w:val="32"/>
        </w:rPr>
      </w:pPr>
      <w:r>
        <w:rPr>
          <w:rFonts w:hint="eastAsia" w:ascii="楷体_GB2312" w:hAnsi="楷体_GB2312" w:eastAsia="楷体_GB2312" w:cs="楷体_GB2312"/>
          <w:b/>
          <w:bCs/>
          <w:i w:val="0"/>
          <w:caps w:val="0"/>
          <w:color w:val="333333"/>
          <w:spacing w:val="0"/>
          <w:sz w:val="32"/>
          <w:szCs w:val="32"/>
          <w:shd w:val="clear" w:color="auto" w:fill="FFFFFF"/>
        </w:rPr>
        <w:t>第二十一条</w:t>
      </w:r>
      <w:r>
        <w:rPr>
          <w:rFonts w:hint="eastAsia" w:ascii="仿宋_GB2312" w:hAnsi="仿宋_GB2312" w:eastAsia="仿宋_GB2312" w:cs="仿宋_GB2312"/>
          <w:i w:val="0"/>
          <w:caps w:val="0"/>
          <w:color w:val="333333"/>
          <w:spacing w:val="0"/>
          <w:sz w:val="32"/>
          <w:szCs w:val="32"/>
          <w:shd w:val="clear" w:color="auto" w:fill="FFFFFF"/>
        </w:rPr>
        <w:t> 本办法自印发之日起施行。</w:t>
      </w:r>
    </w:p>
    <w:p>
      <w:pPr>
        <w:keepNext w:val="0"/>
        <w:keepLines w:val="0"/>
        <w:pageBreakBefore w:val="0"/>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MT Extra"/>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0287" w:usb1="00000000" w:usb2="00000000" w:usb3="00000000" w:csb0="4000009F" w:csb1="DFD74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altName w:val="MT Extra"/>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7D9C34"/>
    <w:rsid w:val="3EEF4F3B"/>
    <w:rsid w:val="4AB30C9A"/>
    <w:rsid w:val="5E7D9C34"/>
    <w:rsid w:val="75FF6796"/>
    <w:rsid w:val="77FE08D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Style w:val="3"/>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8.66666666666667</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2025-10-24T08:01:00Z</dcterms:created>
  <dc:creator>hss</dc:creator>
  <cp:lastModifiedBy>hss</cp:lastModifiedBy>
  <dcterms:modified xsi:type="dcterms:W3CDTF">2025-10-24T09:42:30Z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