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A45C1">
      <w:pPr>
        <w:ind w:firstLine="640"/>
        <w:rPr>
          <w:rFonts w:hint="default" w:ascii="Times New Roman" w:hAnsi="Times New Roman" w:cs="Times New Roman"/>
          <w:color w:val="000000" w:themeColor="text1"/>
          <w:szCs w:val="32"/>
          <w14:textFill>
            <w14:solidFill>
              <w14:schemeClr w14:val="tx1"/>
            </w14:solidFill>
          </w14:textFill>
        </w:rPr>
      </w:pPr>
    </w:p>
    <w:p w14:paraId="58AAC210">
      <w:pPr>
        <w:pStyle w:val="8"/>
        <w:spacing w:line="900" w:lineRule="exact"/>
        <w:ind w:firstLine="420"/>
        <w:rPr>
          <w:rFonts w:hint="default" w:ascii="Times New Roman" w:hAnsi="Times New Roman" w:cs="Times New Roman"/>
          <w:color w:val="000000" w:themeColor="text1"/>
          <w14:textFill>
            <w14:solidFill>
              <w14:schemeClr w14:val="tx1"/>
            </w14:solidFill>
          </w14:textFill>
        </w:rPr>
      </w:pPr>
    </w:p>
    <w:p w14:paraId="442DCB32">
      <w:pPr>
        <w:ind w:firstLine="640"/>
        <w:rPr>
          <w:rFonts w:hint="default" w:ascii="Times New Roman" w:hAnsi="Times New Roman" w:cs="Times New Roman"/>
        </w:rPr>
      </w:pPr>
    </w:p>
    <w:p w14:paraId="3F345D79">
      <w:pPr>
        <w:pStyle w:val="2"/>
        <w:ind w:firstLine="640"/>
        <w:rPr>
          <w:rFonts w:hint="default" w:ascii="Times New Roman" w:hAnsi="Times New Roman" w:cs="Times New Roman"/>
        </w:rPr>
      </w:pPr>
    </w:p>
    <w:p w14:paraId="32B516F1">
      <w:pPr>
        <w:pStyle w:val="3"/>
        <w:ind w:left="640" w:firstLine="640"/>
        <w:rPr>
          <w:rFonts w:hint="default" w:ascii="Times New Roman" w:hAnsi="Times New Roman" w:cs="Times New Roman"/>
        </w:rPr>
      </w:pPr>
    </w:p>
    <w:p w14:paraId="33595B1C">
      <w:pPr>
        <w:ind w:firstLine="0" w:firstLineChars="0"/>
        <w:jc w:val="center"/>
        <w:outlineLvl w:val="0"/>
        <w:rPr>
          <w:rFonts w:hint="default" w:ascii="Times New Roman" w:hAnsi="Times New Roman" w:eastAsia="方正小标宋简体" w:cs="Times New Roman"/>
          <w:color w:val="000000" w:themeColor="text1"/>
          <w:sz w:val="44"/>
          <w:szCs w:val="44"/>
          <w14:textFill>
            <w14:solidFill>
              <w14:schemeClr w14:val="tx1"/>
            </w14:solidFill>
          </w14:textFill>
        </w:rPr>
      </w:pPr>
      <w:bookmarkStart w:id="0" w:name="_Toc19798"/>
      <w:bookmarkStart w:id="1" w:name="_Toc2241"/>
      <w:bookmarkStart w:id="2" w:name="_Toc9037"/>
      <w:r>
        <w:rPr>
          <w:rFonts w:hint="default" w:ascii="Times New Roman" w:hAnsi="Times New Roman" w:eastAsia="方正小标宋简体" w:cs="Times New Roman"/>
          <w:color w:val="000000" w:themeColor="text1"/>
          <w:spacing w:val="27"/>
          <w:kern w:val="0"/>
          <w:sz w:val="44"/>
          <w:szCs w:val="44"/>
          <w:fitText w:val="4400" w:id="1422269118"/>
          <w14:textFill>
            <w14:solidFill>
              <w14:schemeClr w14:val="tx1"/>
            </w14:solidFill>
          </w14:textFill>
        </w:rPr>
        <w:t>黄山软件园发展规</w:t>
      </w:r>
      <w:r>
        <w:rPr>
          <w:rFonts w:hint="default" w:ascii="Times New Roman" w:hAnsi="Times New Roman" w:eastAsia="方正小标宋简体" w:cs="Times New Roman"/>
          <w:color w:val="000000" w:themeColor="text1"/>
          <w:spacing w:val="4"/>
          <w:kern w:val="0"/>
          <w:sz w:val="44"/>
          <w:szCs w:val="44"/>
          <w:fitText w:val="4400" w:id="1422269118"/>
          <w14:textFill>
            <w14:solidFill>
              <w14:schemeClr w14:val="tx1"/>
            </w14:solidFill>
          </w14:textFill>
        </w:rPr>
        <w:t>划</w:t>
      </w:r>
      <w:bookmarkEnd w:id="0"/>
      <w:bookmarkEnd w:id="1"/>
      <w:bookmarkEnd w:id="2"/>
    </w:p>
    <w:p w14:paraId="1D2003FA">
      <w:pPr>
        <w:pStyle w:val="2"/>
        <w:ind w:firstLine="0" w:firstLineChars="0"/>
        <w:jc w:val="center"/>
        <w:rPr>
          <w:rFonts w:hint="default" w:ascii="Times New Roman" w:hAnsi="Times New Roman" w:eastAsia="仿宋_GB2312" w:cs="Times New Roman"/>
          <w:lang w:val="en-US" w:eastAsia="zh-CN"/>
        </w:rPr>
      </w:pP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2023-2027年）</w:t>
      </w:r>
    </w:p>
    <w:p w14:paraId="08C1D2F1">
      <w:pPr>
        <w:ind w:firstLine="640"/>
        <w:rPr>
          <w:rFonts w:hint="default" w:ascii="Times New Roman" w:hAnsi="Times New Roman" w:cs="Times New Roman"/>
          <w:color w:val="000000" w:themeColor="text1"/>
          <w:szCs w:val="32"/>
          <w14:textFill>
            <w14:solidFill>
              <w14:schemeClr w14:val="tx1"/>
            </w14:solidFill>
          </w14:textFill>
        </w:rPr>
      </w:pPr>
    </w:p>
    <w:p w14:paraId="788F9936">
      <w:pPr>
        <w:ind w:firstLine="640"/>
        <w:rPr>
          <w:rFonts w:hint="default" w:ascii="Times New Roman" w:hAnsi="Times New Roman" w:cs="Times New Roman"/>
          <w:color w:val="000000" w:themeColor="text1"/>
          <w:szCs w:val="32"/>
          <w14:textFill>
            <w14:solidFill>
              <w14:schemeClr w14:val="tx1"/>
            </w14:solidFill>
          </w14:textFill>
        </w:rPr>
      </w:pPr>
    </w:p>
    <w:p w14:paraId="51A927F9">
      <w:pPr>
        <w:ind w:firstLine="640"/>
        <w:rPr>
          <w:rFonts w:hint="default" w:ascii="Times New Roman" w:hAnsi="Times New Roman" w:cs="Times New Roman"/>
          <w:color w:val="000000" w:themeColor="text1"/>
          <w:szCs w:val="32"/>
          <w14:textFill>
            <w14:solidFill>
              <w14:schemeClr w14:val="tx1"/>
            </w14:solidFill>
          </w14:textFill>
        </w:rPr>
      </w:pPr>
    </w:p>
    <w:p w14:paraId="561D6AB7">
      <w:pPr>
        <w:ind w:firstLine="640"/>
        <w:rPr>
          <w:rFonts w:hint="default" w:ascii="Times New Roman" w:hAnsi="Times New Roman" w:cs="Times New Roman"/>
          <w:color w:val="000000" w:themeColor="text1"/>
          <w:szCs w:val="32"/>
          <w14:textFill>
            <w14:solidFill>
              <w14:schemeClr w14:val="tx1"/>
            </w14:solidFill>
          </w14:textFill>
        </w:rPr>
      </w:pPr>
    </w:p>
    <w:p w14:paraId="17666C33">
      <w:pPr>
        <w:ind w:firstLine="640"/>
        <w:rPr>
          <w:rFonts w:hint="default" w:ascii="Times New Roman" w:hAnsi="Times New Roman" w:cs="Times New Roman"/>
          <w:color w:val="000000" w:themeColor="text1"/>
          <w:szCs w:val="32"/>
          <w14:textFill>
            <w14:solidFill>
              <w14:schemeClr w14:val="tx1"/>
            </w14:solidFill>
          </w14:textFill>
        </w:rPr>
      </w:pPr>
    </w:p>
    <w:p w14:paraId="79289062">
      <w:pPr>
        <w:ind w:firstLine="640"/>
        <w:rPr>
          <w:rFonts w:hint="default" w:ascii="Times New Roman" w:hAnsi="Times New Roman" w:cs="Times New Roman"/>
          <w:color w:val="000000" w:themeColor="text1"/>
          <w:szCs w:val="32"/>
          <w14:textFill>
            <w14:solidFill>
              <w14:schemeClr w14:val="tx1"/>
            </w14:solidFill>
          </w14:textFill>
        </w:rPr>
      </w:pPr>
    </w:p>
    <w:p w14:paraId="14268FCC">
      <w:pPr>
        <w:ind w:firstLine="640"/>
        <w:rPr>
          <w:rFonts w:hint="default" w:ascii="Times New Roman" w:hAnsi="Times New Roman" w:cs="Times New Roman"/>
          <w:color w:val="000000" w:themeColor="text1"/>
          <w:szCs w:val="32"/>
          <w14:textFill>
            <w14:solidFill>
              <w14:schemeClr w14:val="tx1"/>
            </w14:solidFill>
          </w14:textFill>
        </w:rPr>
      </w:pPr>
    </w:p>
    <w:p w14:paraId="399DB75B">
      <w:pPr>
        <w:pStyle w:val="2"/>
        <w:rPr>
          <w:rFonts w:hint="default" w:ascii="Times New Roman" w:hAnsi="Times New Roman" w:cs="Times New Roman"/>
        </w:rPr>
      </w:pPr>
    </w:p>
    <w:p w14:paraId="405FDE23">
      <w:pPr>
        <w:ind w:firstLine="640"/>
        <w:rPr>
          <w:rFonts w:hint="default" w:ascii="Times New Roman" w:hAnsi="Times New Roman" w:cs="Times New Roman"/>
          <w:color w:val="000000" w:themeColor="text1"/>
          <w:szCs w:val="32"/>
          <w14:textFill>
            <w14:solidFill>
              <w14:schemeClr w14:val="tx1"/>
            </w14:solidFill>
          </w14:textFill>
        </w:rPr>
      </w:pPr>
    </w:p>
    <w:p w14:paraId="34EA15AE">
      <w:pPr>
        <w:ind w:firstLine="0" w:firstLineChars="0"/>
        <w:jc w:val="center"/>
        <w:outlineLvl w:val="0"/>
        <w:rPr>
          <w:rFonts w:hint="default" w:ascii="Times New Roman" w:hAnsi="Times New Roman" w:cs="Times New Roman"/>
          <w:color w:val="000000" w:themeColor="text1"/>
          <w14:textFill>
            <w14:solidFill>
              <w14:schemeClr w14:val="tx1"/>
            </w14:solidFill>
          </w14:textFill>
        </w:rPr>
      </w:pPr>
      <w:bookmarkStart w:id="3" w:name="_Toc19379"/>
      <w:bookmarkStart w:id="4" w:name="_Toc12721"/>
      <w:bookmarkStart w:id="5" w:name="_Toc891"/>
      <w:r>
        <w:rPr>
          <w:rFonts w:hint="default" w:ascii="Times New Roman" w:hAnsi="Times New Roman" w:eastAsia="黑体" w:cs="Times New Roman"/>
          <w:color w:val="000000" w:themeColor="text1"/>
          <w14:textFill>
            <w14:solidFill>
              <w14:schemeClr w14:val="tx1"/>
            </w14:solidFill>
          </w14:textFill>
        </w:rPr>
        <w:t>黄山市经济和信息化局</w:t>
      </w:r>
      <w:bookmarkEnd w:id="3"/>
      <w:bookmarkEnd w:id="4"/>
      <w:bookmarkEnd w:id="5"/>
    </w:p>
    <w:p w14:paraId="4AAC7C13">
      <w:pPr>
        <w:ind w:firstLine="0" w:firstLineChars="0"/>
        <w:jc w:val="center"/>
        <w:rPr>
          <w:rFonts w:hint="default" w:ascii="Times New Roman" w:hAnsi="Times New Roman" w:eastAsia="方正小标宋简体" w:cs="Times New Roman"/>
          <w:color w:val="000000" w:themeColor="text1"/>
          <w:sz w:val="36"/>
          <w:szCs w:val="36"/>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"https://www.so.com/link?m=bvZCDqC7i45vGvrCgIHLGXIPIAYIYMlW2WDtIhjz5L9U3d%2BFuSoMJuRgQ3qhUQZE8MfDnJrgLCiEviS%2BQphA71gaIZV%2Bk79WGJiKU94VNoP3M7EGBUFNFSFb%2BZ6oeueJGLMv3DokJsgoeaftR%2BMZNIUOnBOcShRtKRf%2F97HqYTDXQ3zYsilQn9nZQcyg%3D" \t "_blank" </w:instrText>
      </w:r>
      <w:r>
        <w:rPr>
          <w:rFonts w:hint="default" w:ascii="Times New Roman" w:hAnsi="Times New Roman" w:cs="Times New Roman"/>
        </w:rPr>
        <w:fldChar w:fldCharType="separate"/>
      </w:r>
      <w:r>
        <w:rPr>
          <w:rFonts w:hint="default" w:ascii="Times New Roman" w:hAnsi="Times New Roman" w:eastAsia="黑体" w:cs="Times New Roman"/>
          <w:color w:val="000000" w:themeColor="text1"/>
          <w:kern w:val="36"/>
          <w:szCs w:val="32"/>
          <w14:textFill>
            <w14:solidFill>
              <w14:schemeClr w14:val="tx1"/>
            </w14:solidFill>
          </w14:textFill>
        </w:rPr>
        <w:t>二</w:t>
      </w:r>
      <w:r>
        <w:rPr>
          <w:rFonts w:hint="default" w:ascii="Times New Roman" w:hAnsi="Times New Roman" w:eastAsia="黑体" w:cs="Times New Roman"/>
          <w:color w:val="000000" w:themeColor="text1"/>
          <w:spacing w:val="8"/>
          <w:szCs w:val="32"/>
          <w14:textFill>
            <w14:solidFill>
              <w14:schemeClr w14:val="tx1"/>
            </w14:solidFill>
          </w14:textFill>
        </w:rPr>
        <w:t>〇</w:t>
      </w:r>
      <w:r>
        <w:rPr>
          <w:rFonts w:hint="default" w:ascii="Times New Roman" w:hAnsi="Times New Roman" w:eastAsia="黑体" w:cs="Times New Roman"/>
          <w:color w:val="000000" w:themeColor="text1"/>
          <w:kern w:val="36"/>
          <w:szCs w:val="32"/>
          <w14:textFill>
            <w14:solidFill>
              <w14:schemeClr w14:val="tx1"/>
            </w14:solidFill>
          </w14:textFill>
        </w:rPr>
        <w:t>二</w:t>
      </w:r>
      <w:r>
        <w:rPr>
          <w:rFonts w:hint="default" w:ascii="Times New Roman" w:hAnsi="Times New Roman" w:eastAsia="黑体" w:cs="Times New Roman"/>
          <w:color w:val="000000" w:themeColor="text1"/>
          <w:spacing w:val="8"/>
          <w:szCs w:val="32"/>
          <w14:textFill>
            <w14:solidFill>
              <w14:schemeClr w14:val="tx1"/>
            </w14:solidFill>
          </w14:textFill>
        </w:rPr>
        <w:t>三年</w:t>
      </w:r>
      <w:r>
        <w:rPr>
          <w:rFonts w:hint="default" w:ascii="Times New Roman" w:hAnsi="Times New Roman" w:eastAsia="黑体" w:cs="Times New Roman"/>
          <w:color w:val="000000" w:themeColor="text1"/>
          <w:spacing w:val="8"/>
          <w:szCs w:val="32"/>
          <w:lang w:val="en-US" w:eastAsia="zh-CN"/>
          <w14:textFill>
            <w14:solidFill>
              <w14:schemeClr w14:val="tx1"/>
            </w14:solidFill>
          </w14:textFill>
        </w:rPr>
        <w:t>七</w:t>
      </w:r>
      <w:r>
        <w:rPr>
          <w:rFonts w:hint="default" w:ascii="Times New Roman" w:hAnsi="Times New Roman" w:eastAsia="黑体" w:cs="Times New Roman"/>
          <w:color w:val="000000" w:themeColor="text1"/>
          <w:kern w:val="36"/>
          <w:szCs w:val="32"/>
          <w14:textFill>
            <w14:solidFill>
              <w14:schemeClr w14:val="tx1"/>
            </w14:solidFill>
          </w14:textFill>
        </w:rPr>
        <w:t>月</w:t>
      </w:r>
      <w:r>
        <w:rPr>
          <w:rFonts w:hint="default" w:ascii="Times New Roman" w:hAnsi="Times New Roman" w:eastAsia="黑体" w:cs="Times New Roman"/>
          <w:color w:val="000000" w:themeColor="text1"/>
          <w:kern w:val="36"/>
          <w:szCs w:val="32"/>
          <w14:textFill>
            <w14:solidFill>
              <w14:schemeClr w14:val="tx1"/>
            </w14:solidFill>
          </w14:textFill>
        </w:rPr>
        <w:fldChar w:fldCharType="end"/>
      </w:r>
    </w:p>
    <w:p w14:paraId="63120E57">
      <w:pPr>
        <w:ind w:firstLine="720"/>
        <w:jc w:val="center"/>
        <w:rPr>
          <w:rFonts w:hint="default" w:ascii="Times New Roman" w:hAnsi="Times New Roman" w:eastAsia="方正小标宋简体" w:cs="Times New Roman"/>
          <w:color w:val="000000" w:themeColor="text1"/>
          <w:sz w:val="36"/>
          <w:szCs w:val="36"/>
          <w14:textFill>
            <w14:solidFill>
              <w14:schemeClr w14:val="tx1"/>
            </w14:solidFill>
          </w14:textFill>
        </w:rPr>
      </w:pPr>
    </w:p>
    <w:p w14:paraId="4A8FCAC6">
      <w:pPr>
        <w:ind w:firstLine="720"/>
        <w:jc w:val="center"/>
        <w:rPr>
          <w:rFonts w:hint="default" w:ascii="Times New Roman" w:hAnsi="Times New Roman" w:eastAsia="方正小标宋简体" w:cs="Times New Roman"/>
          <w:color w:val="000000" w:themeColor="text1"/>
          <w:sz w:val="36"/>
          <w:szCs w:val="36"/>
          <w14:textFill>
            <w14:solidFill>
              <w14:schemeClr w14:val="tx1"/>
            </w14:solidFill>
          </w14:textFill>
        </w:rPr>
      </w:pPr>
    </w:p>
    <w:p w14:paraId="0F9A4F7E">
      <w:pPr>
        <w:ind w:firstLine="720"/>
        <w:jc w:val="center"/>
        <w:rPr>
          <w:rFonts w:hint="default" w:ascii="Times New Roman" w:hAnsi="Times New Roman" w:eastAsia="方正小标宋简体" w:cs="Times New Roman"/>
          <w:color w:val="000000" w:themeColor="text1"/>
          <w:sz w:val="36"/>
          <w:szCs w:val="36"/>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pPr>
    </w:p>
    <w:sdt>
      <w:sdtPr>
        <w:rPr>
          <w:rFonts w:hint="default" w:ascii="Times New Roman" w:hAnsi="Times New Roman" w:eastAsia="宋体" w:cs="Times New Roman"/>
          <w:color w:val="000000" w:themeColor="text1"/>
          <w:sz w:val="21"/>
          <w14:textFill>
            <w14:solidFill>
              <w14:schemeClr w14:val="tx1"/>
            </w14:solidFill>
          </w14:textFill>
        </w:rPr>
        <w:id w:val="147480437"/>
        <w:docPartObj>
          <w:docPartGallery w:val="Table of Contents"/>
          <w:docPartUnique/>
        </w:docPartObj>
      </w:sdtPr>
      <w:sdtEndPr>
        <w:rPr>
          <w:rFonts w:hint="default" w:ascii="Times New Roman" w:hAnsi="Times New Roman" w:eastAsia="宋体" w:cs="Times New Roman"/>
          <w:b/>
          <w:color w:val="000000" w:themeColor="text1"/>
          <w:sz w:val="21"/>
          <w14:textFill>
            <w14:solidFill>
              <w14:schemeClr w14:val="tx1"/>
            </w14:solidFill>
          </w14:textFill>
        </w:rPr>
      </w:sdtEndPr>
      <w:sdtContent>
        <w:p w14:paraId="10052594">
          <w:pPr>
            <w:spacing w:line="240" w:lineRule="auto"/>
            <w:ind w:firstLine="0" w:firstLineChars="0"/>
            <w:jc w:val="center"/>
            <w:rPr>
              <w:rFonts w:hint="default" w:ascii="Times New Roman" w:hAnsi="Times New Roman" w:cs="Times New Roman"/>
              <w:color w:val="000000" w:themeColor="text1"/>
              <w:szCs w:val="32"/>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目 录</w:t>
          </w:r>
        </w:p>
        <w:p w14:paraId="73B91AE8">
          <w:pPr>
            <w:pStyle w:val="13"/>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fldChar w:fldCharType="begin"/>
          </w:r>
          <w:r>
            <w:rPr>
              <w:rFonts w:hint="default" w:ascii="Times New Roman" w:hAnsi="Times New Roman" w:cs="Times New Roman"/>
              <w:color w:val="000000" w:themeColor="text1"/>
              <w:szCs w:val="32"/>
              <w14:textFill>
                <w14:solidFill>
                  <w14:schemeClr w14:val="tx1"/>
                </w14:solidFill>
              </w14:textFill>
            </w:rPr>
            <w:instrText xml:space="preserve">TOC \o "1-2" \h \u </w:instrText>
          </w:r>
          <w:r>
            <w:rPr>
              <w:rFonts w:hint="default" w:ascii="Times New Roman" w:hAnsi="Times New Roman" w:cs="Times New Roman"/>
              <w:color w:val="000000" w:themeColor="text1"/>
              <w:szCs w:val="32"/>
              <w14:textFill>
                <w14:solidFill>
                  <w14:schemeClr w14:val="tx1"/>
                </w14:solidFill>
              </w14:textFill>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"_Toc17631"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一、发展现状</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_Toc17631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239EBC8">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"_Toc21058"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（一）发展成效</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_Toc21058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0FAAAD1B">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"_Toc17044"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（二）存在问题</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_Toc17044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746C6C6">
          <w:pPr>
            <w:pStyle w:val="13"/>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"_Toc24220"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二、发展机遇</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_Toc24220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7F92C5F">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"_Toc24630"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（一）多重政策叠加带来发展新契机</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_Toc24630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46541EBC">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"_Toc17475"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（二）软件国产化孕育发展新动能</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_Toc17475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97FB9BA">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"_Toc24508"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（三）数字化智能化变革点燃发展新引擎</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_Toc24508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24F9CCDC">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"_Toc28642"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（四）“融杭接沪”催生发展新活力</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_Toc28642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6B209168">
          <w:pPr>
            <w:pStyle w:val="13"/>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"_Toc11118"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三、总体要求</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_Toc11118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7C459E9">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"_Toc14788"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（一）指导思想</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_Toc14788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6</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9F3E9C8">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"_Toc32001"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（二）基本原则</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_Toc32001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1D945715">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"_Toc5369"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（三）发展目标</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_Toc5369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8</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7AFF9BFE">
          <w:pPr>
            <w:pStyle w:val="13"/>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"_Toc25268"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四、整体战略</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_Toc25268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2B4B84A">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"_Toc18571"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（一）战略定位</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_Toc18571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6B818A4A">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"_Toc14884"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（二）空间格局</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_Toc14884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10</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6A21BA90">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"_Toc2928"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（三）产业</w:t>
          </w:r>
          <w:r>
            <w:rPr>
              <w:rFonts w:hint="default" w:ascii="Times New Roman" w:hAnsi="Times New Roman" w:cs="Times New Roman"/>
              <w:color w:val="000000" w:themeColor="text1"/>
              <w:lang w:val="en-US" w:eastAsia="zh-CN"/>
              <w14:textFill>
                <w14:solidFill>
                  <w14:schemeClr w14:val="tx1"/>
                </w14:solidFill>
              </w14:textFill>
            </w:rPr>
            <w:t>发展重点</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_Toc2928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7D373E24">
          <w:pPr>
            <w:pStyle w:val="13"/>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"_Toc14065"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五、主要任务</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_Toc14065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18</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120F210B">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"_Toc24876"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（一）聚焦专业园区建设，推进产业集聚发展</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_Toc24876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18</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7251A615">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"_Toc31602"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（二）聚焦软件企业引培，壮大产业发展规模</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_Toc31602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20</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7EC7D821">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"_Toc17455"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（三）聚焦软件人才引育，激发产业创新活力</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_Toc17455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23</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75B35F03">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"_Toc15357"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（四）聚焦全球开放合作，拓展产业发展空间</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_Toc15357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25</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02CC5C0F">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"_Toc21620"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（五）聚焦生态体系构建，打造产业坚实支撑</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_Toc21620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27</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70CBA0B1">
          <w:pPr>
            <w:pStyle w:val="13"/>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"_Toc27032"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六、保障措施</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_Toc27032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5E91BA4C">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"_Toc13309"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（一）健全组织实施机制</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_Toc13309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4507B8F9">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"_Toc1808"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（二）加大政策支持力度</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_Toc1808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29</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03079628">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"_Toc18440"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（三）拓宽投融资渠道</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_Toc18440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30</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7E8B65C">
          <w:pPr>
            <w:pStyle w:val="14"/>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"_Toc9145"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（四）加强园区考核评估</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_Toc9145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30</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3C238313">
          <w:pPr>
            <w:pStyle w:val="13"/>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"_Toc3397"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附件一：黄山软件园发展规划工作任务分解表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_Toc3397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31</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67CED32F">
          <w:pPr>
            <w:pStyle w:val="13"/>
            <w:tabs>
              <w:tab w:val="right" w:leader="dot" w:pos="8306"/>
              <w:tab w:val="clear" w:pos="8298"/>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"_Toc4473" </w:instrText>
          </w:r>
          <w:r>
            <w:rPr>
              <w:rFonts w:hint="default" w:ascii="Times New Roman" w:hAnsi="Times New Roman" w:cs="Times New Roman"/>
            </w:rPr>
            <w:fldChar w:fldCharType="separate"/>
          </w:r>
          <w:r>
            <w:rPr>
              <w:rFonts w:hint="default" w:ascii="Times New Roman" w:hAnsi="Times New Roman" w:cs="Times New Roman"/>
              <w:color w:val="000000" w:themeColor="text1"/>
              <w14:textFill>
                <w14:solidFill>
                  <w14:schemeClr w14:val="tx1"/>
                </w14:solidFill>
              </w14:textFill>
            </w:rPr>
            <w:t>附件二：黄山市软件产业招商指引</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_Toc4473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32</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14:textFill>
                <w14:solidFill>
                  <w14:schemeClr w14:val="tx1"/>
                </w14:solidFill>
              </w14:textFill>
            </w:rPr>
            <w:fldChar w:fldCharType="end"/>
          </w:r>
        </w:p>
        <w:p w14:paraId="686C44D8">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32"/>
              <w14:textFill>
                <w14:solidFill>
                  <w14:schemeClr w14:val="tx1"/>
                </w14:solidFill>
              </w14:textFill>
            </w:rPr>
            <w:fldChar w:fldCharType="end"/>
          </w:r>
        </w:p>
      </w:sdtContent>
    </w:sdt>
    <w:p w14:paraId="4C9D19C2">
      <w:pPr>
        <w:ind w:firstLine="0" w:firstLineChars="0"/>
        <w:rPr>
          <w:rFonts w:hint="default" w:ascii="Times New Roman" w:hAnsi="Times New Roman" w:eastAsia="方正小标宋简体" w:cs="Times New Roman"/>
          <w:color w:val="000000" w:themeColor="text1"/>
          <w:sz w:val="36"/>
          <w:szCs w:val="36"/>
          <w14:textFill>
            <w14:solidFill>
              <w14:schemeClr w14:val="tx1"/>
            </w14:solidFill>
          </w14:textFill>
        </w:rPr>
      </w:pPr>
    </w:p>
    <w:p w14:paraId="52787954">
      <w:pPr>
        <w:ind w:firstLine="720"/>
        <w:jc w:val="center"/>
        <w:rPr>
          <w:rFonts w:hint="default" w:ascii="Times New Roman" w:hAnsi="Times New Roman" w:eastAsia="方正小标宋简体" w:cs="Times New Roman"/>
          <w:color w:val="000000" w:themeColor="text1"/>
          <w:sz w:val="36"/>
          <w:szCs w:val="36"/>
          <w14:textFill>
            <w14:solidFill>
              <w14:schemeClr w14:val="tx1"/>
            </w14:solidFill>
          </w14:textFill>
        </w:rPr>
      </w:pPr>
    </w:p>
    <w:p w14:paraId="64907852">
      <w:pPr>
        <w:ind w:firstLine="720"/>
        <w:jc w:val="center"/>
        <w:rPr>
          <w:rFonts w:hint="default" w:ascii="Times New Roman" w:hAnsi="Times New Roman" w:eastAsia="方正小标宋简体" w:cs="Times New Roman"/>
          <w:color w:val="000000" w:themeColor="text1"/>
          <w:sz w:val="36"/>
          <w:szCs w:val="36"/>
          <w14:textFill>
            <w14:solidFill>
              <w14:schemeClr w14:val="tx1"/>
            </w14:solidFill>
          </w14:textFill>
        </w:rPr>
      </w:pPr>
    </w:p>
    <w:p w14:paraId="41762794">
      <w:pPr>
        <w:ind w:firstLine="640"/>
        <w:rPr>
          <w:rFonts w:hint="default" w:ascii="Times New Roman" w:hAnsi="Times New Roman" w:cs="Times New Roman"/>
          <w:color w:val="000000" w:themeColor="text1"/>
          <w14:textFill>
            <w14:solidFill>
              <w14:schemeClr w14:val="tx1"/>
            </w14:solidFill>
          </w14:textFill>
        </w:rPr>
        <w:sectPr>
          <w:footerReference r:id="rId11" w:type="default"/>
          <w:pgSz w:w="11906" w:h="16838"/>
          <w:pgMar w:top="2098" w:right="1474" w:bottom="1984" w:left="1587" w:header="851" w:footer="992" w:gutter="0"/>
          <w:pgNumType w:fmt="upperRoman" w:start="1"/>
          <w:cols w:space="425" w:num="1"/>
          <w:docGrid w:type="lines" w:linePitch="312" w:charSpace="0"/>
        </w:sectPr>
      </w:pPr>
    </w:p>
    <w:p w14:paraId="6150F667">
      <w:pPr>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软件产业是新一代信息技术的核心，是数字经济发展的基础，是产业转型、现代化城市建设的关键支撑。为贯彻落实安徽省软件产业“一市一园”建设工作部署，夯实黄山市软件产业发展载体支撑，构建软件产业集聚发展新生态，提升软件产业核心竞争力，根据《安徽省“十四五”软件和信息服务业发展规划》《黄山市国民经济和社会发展第十四个五年规划和2035年远景目标纲要》《黄山市城市总体规划（2008-2030）》等文件，编制本规划。</w:t>
      </w:r>
    </w:p>
    <w:p w14:paraId="0E0847E8">
      <w:pPr>
        <w:pStyle w:val="4"/>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bookmarkStart w:id="6" w:name="_Toc17631"/>
      <w:bookmarkStart w:id="7" w:name="_Toc22959"/>
      <w:r>
        <w:rPr>
          <w:rFonts w:hint="default" w:ascii="Times New Roman" w:hAnsi="Times New Roman" w:cs="Times New Roman"/>
          <w:color w:val="000000" w:themeColor="text1"/>
          <w14:textFill>
            <w14:solidFill>
              <w14:schemeClr w14:val="tx1"/>
            </w14:solidFill>
          </w14:textFill>
        </w:rPr>
        <w:t>一、发展现状</w:t>
      </w:r>
      <w:bookmarkEnd w:id="6"/>
      <w:bookmarkEnd w:id="7"/>
    </w:p>
    <w:p w14:paraId="7B1D396C">
      <w:pPr>
        <w:pStyle w:val="5"/>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8" w:name="_Toc1034"/>
      <w:bookmarkStart w:id="9" w:name="_Toc21058"/>
      <w:r>
        <w:rPr>
          <w:rFonts w:hint="default" w:ascii="Times New Roman" w:hAnsi="Times New Roman" w:cs="Times New Roman"/>
          <w:color w:val="000000" w:themeColor="text1"/>
          <w14:textFill>
            <w14:solidFill>
              <w14:schemeClr w14:val="tx1"/>
            </w14:solidFill>
          </w14:textFill>
        </w:rPr>
        <w:t>（一）发展成效</w:t>
      </w:r>
      <w:bookmarkEnd w:id="8"/>
      <w:bookmarkEnd w:id="9"/>
    </w:p>
    <w:p w14:paraId="3536277C">
      <w:pPr>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近年来，黄山市积极推动软件产业发展，全市软件产业发展态势良好。2022年全市软件和信息服务业营收约1亿元，累计培育软件企业60余家，业务涵盖智慧旅游、智慧农业、数字政府、数字乡村等多个领域。</w:t>
      </w:r>
    </w:p>
    <w:p w14:paraId="3DC1B56A">
      <w:pPr>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“一园多点”发展格局初步形成</w:t>
      </w:r>
      <w:r>
        <w:rPr>
          <w:rFonts w:hint="default" w:ascii="Times New Roman" w:hAnsi="Times New Roman" w:cs="Times New Roman"/>
          <w:color w:val="000000" w:themeColor="text1"/>
          <w14:textFill>
            <w14:solidFill>
              <w14:schemeClr w14:val="tx1"/>
            </w14:solidFill>
          </w14:textFill>
        </w:rPr>
        <w:t>。成功挂牌黄山软件园，黄山文创小镇作为黄山软件园启动区，建成园区展示中心及2000余</w:t>
      </w:r>
      <w:r>
        <w:rPr>
          <w:rFonts w:hint="default" w:ascii="Times New Roman" w:hAnsi="Times New Roman" w:eastAsia="Segoe UI Symbol"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标准化办公室，已入驻云海大数据、智慧城市信息科技、方舟圣华文化科技等一批软件企业；中安科创城为软件园综合发展区，园区孵化器、众创空间、产品发展及展示中心等产业配套持续完善；置地广场已入驻徽扬物联等软件企业；屯溪区数字经济发展中心致力打造软件和信息服务集聚区，已入驻掌联科技、一卡通科技集团等软件企业；未来科技城具备完整的科技型小微企业孵化生态链，成功孵化罗米科技、大舜激光等软件企业；黟县加速布局数字乡村等行业应用软件，成功引进徽扬物联“AI+数字乡村治理云控管理”平台、“数字黟县”平台等多个数字乡村项目。</w:t>
      </w:r>
    </w:p>
    <w:p w14:paraId="2F15E700">
      <w:pPr>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特色产品不断涌现</w:t>
      </w:r>
      <w:r>
        <w:rPr>
          <w:rFonts w:hint="default" w:ascii="Times New Roman" w:hAnsi="Times New Roman" w:cs="Times New Roman"/>
          <w:color w:val="000000" w:themeColor="text1"/>
          <w14:textFill>
            <w14:solidFill>
              <w14:schemeClr w14:val="tx1"/>
            </w14:solidFill>
          </w14:textFill>
        </w:rPr>
        <w:t>。徽扬物联智慧小区管理云平台、乡村振兴智慧管理系统获得2021年、2022年安徽省首版次软件认定，其自主研发的古建筑群智慧消防应用平台为全市近10万</w:t>
      </w:r>
      <w:r>
        <w:rPr>
          <w:rFonts w:hint="default" w:ascii="Times New Roman" w:hAnsi="Times New Roman" w:eastAsia="Segoe UI Symbol"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古建筑提供智慧消防集成服务。黄山旅游搭建的黄山智慧旅游服务平台上线涵盖50多家景区和180余家酒店，累计发行黄山数字纪念门票、“迎天下·迎客松”“臭鳜鱼”等五款数字藏品五万余份。华数科技打造的“两山大脑全案解决方案”在安徽、陕西、江西等多个地市成功部署。</w:t>
      </w:r>
    </w:p>
    <w:p w14:paraId="04B0FB6B">
      <w:pPr>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重大平台加快建设</w:t>
      </w:r>
      <w:r>
        <w:rPr>
          <w:rFonts w:hint="default" w:ascii="Times New Roman" w:hAnsi="Times New Roman" w:cs="Times New Roman"/>
          <w:color w:val="000000" w:themeColor="text1"/>
          <w14:textFill>
            <w14:solidFill>
              <w14:schemeClr w14:val="tx1"/>
            </w14:solidFill>
          </w14:textFill>
        </w:rPr>
        <w:t>。黄山城市大脑数字底座、黄山智慧城市运行指挥中心以及数据治理平台等智慧城市“一揽子”平台陆续投入运行，并成功开发总体态势分析、智慧文旅、生态环境、城市管理、城市安全等专题应用，为全市智慧文旅、数字政府等领域应用软件、信息技术服务提供基础框架及相关数据，赋能软件产业发展。中国银联（黄山）园区开工建设，将建成可承载约10万台高性能服务器的银联大数据中心，将为黄山市未来的智慧旅游支付、数字金融、大数据产业发展注入新动能。</w:t>
      </w:r>
    </w:p>
    <w:p w14:paraId="0FE3C4E7">
      <w:pPr>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产业发展环境持续优化</w:t>
      </w:r>
      <w:r>
        <w:rPr>
          <w:rFonts w:hint="default" w:ascii="Times New Roman" w:hAnsi="Times New Roman" w:cs="Times New Roman"/>
          <w:color w:val="000000" w:themeColor="text1"/>
          <w14:textFill>
            <w14:solidFill>
              <w14:schemeClr w14:val="tx1"/>
            </w14:solidFill>
          </w14:textFill>
        </w:rPr>
        <w:t>。积极组织开展省级政策资金申报、科技型中小企业备案和国家高新技术企业申报工作，协助本市软件和信息技术服务企业争取上级政策扶持。出台《黄山市支持软件和信息技术服务产业发展若干政策》，设立黄山市促进软件产业发展专项资金，助力软件产业发展。软件专业服务加快完善，BSN（区块链服务网络）黄山数据中心节点为区块链开发企业提供公共硬件设施，大幅降低企业初期投入成本。设立“黄山安元现代服务业投资基金”“黄山新时代文旅产业投资基金”“黄山市绿色投资基金”等多项金融产品，有效解决软件企业融资难题。</w:t>
      </w:r>
    </w:p>
    <w:p w14:paraId="2E75F099">
      <w:pPr>
        <w:pStyle w:val="5"/>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10" w:name="_Toc20839"/>
      <w:bookmarkStart w:id="11" w:name="_Toc17044"/>
      <w:r>
        <w:rPr>
          <w:rFonts w:hint="default" w:ascii="Times New Roman" w:hAnsi="Times New Roman" w:cs="Times New Roman"/>
          <w:color w:val="000000" w:themeColor="text1"/>
          <w14:textFill>
            <w14:solidFill>
              <w14:schemeClr w14:val="tx1"/>
            </w14:solidFill>
          </w14:textFill>
        </w:rPr>
        <w:t>（二）存在问题</w:t>
      </w:r>
      <w:bookmarkEnd w:id="10"/>
      <w:bookmarkEnd w:id="11"/>
    </w:p>
    <w:p w14:paraId="0E4DEA03">
      <w:pPr>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黄山市软件产业起步晚、规模小，产业基础薄弱，2022年软件和信息服务业营收占全省软件和信息服务业营收比重不足千分之一，排名居后位。</w:t>
      </w:r>
    </w:p>
    <w:p w14:paraId="6332FAFA">
      <w:pPr>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龙头企业较少，规模效益有待增强</w:t>
      </w:r>
      <w:r>
        <w:rPr>
          <w:rFonts w:hint="default" w:ascii="Times New Roman" w:hAnsi="Times New Roman" w:cs="Times New Roman"/>
          <w:color w:val="000000" w:themeColor="text1"/>
          <w14:textFill>
            <w14:solidFill>
              <w14:schemeClr w14:val="tx1"/>
            </w14:solidFill>
          </w14:textFill>
        </w:rPr>
        <w:t>。总部型、平台型、规模型等龙头企业较为缺乏，现有企业多数处于起步阶段，研发生产实力不强；与华为、阿里等龙头企业多以项目合作为主，尚未设立分支机构，对本地软件产业带动效应不足。</w:t>
      </w:r>
    </w:p>
    <w:p w14:paraId="78EA537D">
      <w:pPr>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产业集聚度低，发展合力有待提升。</w:t>
      </w:r>
      <w:r>
        <w:rPr>
          <w:rFonts w:hint="default" w:ascii="Times New Roman" w:hAnsi="Times New Roman" w:cs="Times New Roman"/>
          <w:color w:val="000000" w:themeColor="text1"/>
          <w14:textFill>
            <w14:solidFill>
              <w14:schemeClr w14:val="tx1"/>
            </w14:solidFill>
          </w14:textFill>
        </w:rPr>
        <w:t>全市软件产业发展缺乏空间指引，企业布局较为零散，目前软件园承载能力不足，企业入园进度缓慢。软件企业间合作力度不够，协同创新机制不健全，相关部门政务数据资源未充分向软件企业共享共用，企业间、政企间共推软件产业发展格局尚未形成。</w:t>
      </w:r>
    </w:p>
    <w:p w14:paraId="452B8121">
      <w:pPr>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引才留才较难，软件人才供给有待加强。</w:t>
      </w:r>
      <w:r>
        <w:rPr>
          <w:rFonts w:hint="default" w:ascii="Times New Roman" w:hAnsi="Times New Roman" w:cs="Times New Roman"/>
          <w:color w:val="000000" w:themeColor="text1"/>
          <w14:textFill>
            <w14:solidFill>
              <w14:schemeClr w14:val="tx1"/>
            </w14:solidFill>
          </w14:textFill>
        </w:rPr>
        <w:t>受杭州、南京、合肥等大城市虹吸效应影响，对软件高层次人才吸引力不强；本市高校软件相关专业毕业生外流情况严峻，高校毕业生留用较难，2022年黄山学院、黄山职业技术学院软件相关专业留黄率仅有11.5%。企业普遍缺乏软件研发人员、系统运维人员、项目设计人员、项目管理人员等。</w:t>
      </w:r>
    </w:p>
    <w:p w14:paraId="2A696812">
      <w:pPr>
        <w:pStyle w:val="4"/>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bookmarkStart w:id="12" w:name="_Toc10035"/>
      <w:bookmarkStart w:id="13" w:name="_Toc24220"/>
      <w:r>
        <w:rPr>
          <w:rFonts w:hint="default" w:ascii="Times New Roman" w:hAnsi="Times New Roman" w:cs="Times New Roman"/>
          <w:color w:val="000000" w:themeColor="text1"/>
          <w14:textFill>
            <w14:solidFill>
              <w14:schemeClr w14:val="tx1"/>
            </w14:solidFill>
          </w14:textFill>
        </w:rPr>
        <w:t>二、发展机遇</w:t>
      </w:r>
      <w:bookmarkEnd w:id="12"/>
      <w:bookmarkEnd w:id="13"/>
    </w:p>
    <w:p w14:paraId="5E096503">
      <w:pPr>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bookmarkStart w:id="14" w:name="_Toc17047"/>
      <w:r>
        <w:rPr>
          <w:rFonts w:hint="default" w:ascii="Times New Roman" w:hAnsi="Times New Roman" w:cs="Times New Roman"/>
          <w:color w:val="000000" w:themeColor="text1"/>
          <w14:textFill>
            <w14:solidFill>
              <w14:schemeClr w14:val="tx1"/>
            </w14:solidFill>
          </w14:textFill>
        </w:rPr>
        <w:t>当前，世界各国均着力推动软件产业创新与发展，将其视为构筑未来全球竞争优势、引领全球经济发展的战略支点。党的二十大报告明确提出：“要构建新一代信息技术、人工智能等一批新的增长引擎，要推动制造业高端化、智能化、绿色化发展”，软件作为信息技术关键载体和产业融合关键纽带，市场空间也将持续释放。安徽省提出软件产业“一市一园”战略部署，鼓励地市通过软件园建设契机集聚更多软件企业、软件人才，推动软件和信息服务业高质量发展。总体来看，黄山建设软件园、大力发展软件产业将处于大有可为的重要战略机遇期。</w:t>
      </w:r>
    </w:p>
    <w:p w14:paraId="5627191B">
      <w:pPr>
        <w:pStyle w:val="5"/>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15" w:name="_Toc24630"/>
      <w:r>
        <w:rPr>
          <w:rFonts w:hint="default" w:ascii="Times New Roman" w:hAnsi="Times New Roman" w:cs="Times New Roman"/>
          <w:color w:val="000000" w:themeColor="text1"/>
          <w14:textFill>
            <w14:solidFill>
              <w14:schemeClr w14:val="tx1"/>
            </w14:solidFill>
          </w14:textFill>
        </w:rPr>
        <w:t>（一）多重政策叠加带来发展新契机</w:t>
      </w:r>
      <w:bookmarkEnd w:id="14"/>
      <w:bookmarkEnd w:id="15"/>
    </w:p>
    <w:p w14:paraId="03F68984">
      <w:pPr>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随着国家、安徽省软件和信息服务业“十四五”发展战略部署以及《新时期促进集成电路产业和软件产业高质量发展若干政策》《安徽省支持首台套重大技术装备首批次新材料首版次软件发展若干政策》《支持中国声谷创新发展若干政策和中国声谷创新发展三年行动计划（2021—2023年）》等软件领域国家级、省级重要政策的陆续颁布，软件产业对经济发展的重要性进一步提升，政策支撑进一步完善，为黄山市培育壮大软件和信息服务业态，聚集软件企业、人才，提升软件和信息服务创新能力和应用水平提供良好的外部环境。</w:t>
      </w:r>
    </w:p>
    <w:p w14:paraId="4066312C">
      <w:pPr>
        <w:pStyle w:val="5"/>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16" w:name="_Toc17475"/>
      <w:bookmarkStart w:id="17" w:name="_Toc22213"/>
      <w:r>
        <w:rPr>
          <w:rFonts w:hint="default" w:ascii="Times New Roman" w:hAnsi="Times New Roman" w:cs="Times New Roman"/>
          <w:color w:val="000000" w:themeColor="text1"/>
          <w14:textFill>
            <w14:solidFill>
              <w14:schemeClr w14:val="tx1"/>
            </w14:solidFill>
          </w14:textFill>
        </w:rPr>
        <w:t>（二）软件国产化孕育发展新动能</w:t>
      </w:r>
      <w:bookmarkEnd w:id="16"/>
      <w:bookmarkEnd w:id="17"/>
    </w:p>
    <w:p w14:paraId="46913A8A">
      <w:pPr>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当今世界政治博弈与产业竞争加剧，我国基础软件、工业软件等关键软件领域面临西方国家“双重封锁”，面对复杂多变的国际形势，我国正加速搭建自主可控的软件产业体系和产业生态，国产软件市场规模稳步壮大，国产关键基础软件、大型工业软件、开源软件等迎来爆发式增长，软件产业布局也由北京、深圳、上海等中心城市逐步向中西部地区扩散，中西部地区软件产业增势突出。黄山市应抢抓软件国产化、产业辐射扩散契机，积极对接中心城市产业资源，开发一批具备黄山特色的国产软件，将软件产业打造为全市经济发展新增长极。</w:t>
      </w:r>
    </w:p>
    <w:p w14:paraId="55552DD2">
      <w:pPr>
        <w:pStyle w:val="5"/>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18" w:name="_Toc24508"/>
      <w:bookmarkStart w:id="19" w:name="_Toc28958"/>
      <w:r>
        <w:rPr>
          <w:rFonts w:hint="default" w:ascii="Times New Roman" w:hAnsi="Times New Roman" w:cs="Times New Roman"/>
          <w:color w:val="000000" w:themeColor="text1"/>
          <w14:textFill>
            <w14:solidFill>
              <w14:schemeClr w14:val="tx1"/>
            </w14:solidFill>
          </w14:textFill>
        </w:rPr>
        <w:t>（三）数字化智能化变革点燃发展新引擎</w:t>
      </w:r>
      <w:bookmarkEnd w:id="18"/>
      <w:bookmarkEnd w:id="19"/>
    </w:p>
    <w:p w14:paraId="5D891545">
      <w:pPr>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云计算、大数据、人工智能、工业互联网等新一代信息技术正加速推动经济社会向数字化、智能化、网络化方向发展，软件在数字化进程中的基础支撑作用越发凸显。“软件定义”赋予了企业新型能力，拓展了产品智慧化功能，变革了产品的价值创造模式，工业、旅游、农业、文化等各领域数字化转型成为大势，软件发展新空间将持续释放。黄山市要抢抓数字化智能化变革趋势，依托黄山旅游、文化、农业等领域基础优势及需求，发展应用软件、嵌入式软件等特色产品，做优本地服务产品的同时，持续开发满足长三角其他区域需求的服务产品。</w:t>
      </w:r>
    </w:p>
    <w:p w14:paraId="4C96BD70">
      <w:pPr>
        <w:pStyle w:val="5"/>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20" w:name="_Toc16282"/>
      <w:bookmarkStart w:id="21" w:name="_Toc28642"/>
      <w:r>
        <w:rPr>
          <w:rFonts w:hint="default" w:ascii="Times New Roman" w:hAnsi="Times New Roman" w:cs="Times New Roman"/>
          <w:color w:val="000000" w:themeColor="text1"/>
          <w14:textFill>
            <w14:solidFill>
              <w14:schemeClr w14:val="tx1"/>
            </w14:solidFill>
          </w14:textFill>
        </w:rPr>
        <w:t>（四）“融杭接沪”催生发展新活力</w:t>
      </w:r>
      <w:bookmarkEnd w:id="20"/>
      <w:bookmarkEnd w:id="21"/>
    </w:p>
    <w:p w14:paraId="753915C6">
      <w:pPr>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随着长三角一体化、杭州都市圈等区域战略深入推进，“融杭接沪”工作不断取得新进展，杭黄绿色产业园等重大合作项目有序推进，黄山与杭州、上海等地在产业共兴、人才共享和产教融合等方面合作日益紧密。杭州、上海被誉为“中国软件名城”，在平台软件、行业应用软件、云计算、区块链等领域发展优势突出，带动效应强劲。黄山可依托与杭州、上海等先发城市合作基础，加强对接软件产业项目、人才、创新等资源，推动软件产业与长三角先发地区联动发展，激发黄山软件产业发展活力。</w:t>
      </w:r>
    </w:p>
    <w:p w14:paraId="7777C9F6">
      <w:pPr>
        <w:pStyle w:val="4"/>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bookmarkStart w:id="22" w:name="_Toc11118"/>
      <w:bookmarkStart w:id="23" w:name="_Toc21759"/>
      <w:r>
        <w:rPr>
          <w:rFonts w:hint="default" w:ascii="Times New Roman" w:hAnsi="Times New Roman" w:cs="Times New Roman"/>
          <w:color w:val="000000" w:themeColor="text1"/>
          <w14:textFill>
            <w14:solidFill>
              <w14:schemeClr w14:val="tx1"/>
            </w14:solidFill>
          </w14:textFill>
        </w:rPr>
        <w:t>三、总体要求</w:t>
      </w:r>
      <w:bookmarkEnd w:id="22"/>
      <w:bookmarkEnd w:id="23"/>
    </w:p>
    <w:p w14:paraId="1C876EDA">
      <w:pPr>
        <w:pStyle w:val="5"/>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24" w:name="_Toc14788"/>
      <w:bookmarkStart w:id="25" w:name="_Toc17909"/>
      <w:r>
        <w:rPr>
          <w:rFonts w:hint="default" w:ascii="Times New Roman" w:hAnsi="Times New Roman" w:cs="Times New Roman"/>
          <w:color w:val="000000" w:themeColor="text1"/>
          <w14:textFill>
            <w14:solidFill>
              <w14:schemeClr w14:val="tx1"/>
            </w14:solidFill>
          </w14:textFill>
        </w:rPr>
        <w:t>（一）指导思想</w:t>
      </w:r>
      <w:bookmarkEnd w:id="24"/>
      <w:bookmarkEnd w:id="25"/>
    </w:p>
    <w:p w14:paraId="5CAE239F">
      <w:pPr>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highlight w:val="yellow"/>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以习近平新时代中国特色社会</w:t>
      </w:r>
      <w:bookmarkStart w:id="90" w:name="_GoBack"/>
      <w:bookmarkEnd w:id="90"/>
      <w:r>
        <w:rPr>
          <w:rFonts w:hint="default" w:ascii="Times New Roman" w:hAnsi="Times New Roman" w:cs="Times New Roman"/>
          <w:color w:val="000000" w:themeColor="text1"/>
          <w14:textFill>
            <w14:solidFill>
              <w14:schemeClr w14:val="tx1"/>
            </w14:solidFill>
          </w14:textFill>
        </w:rPr>
        <w:t>主义思想为指导，全面贯彻党的二十大精神和</w:t>
      </w:r>
      <w:r>
        <w:rPr>
          <w:rFonts w:hint="eastAsia" w:cs="Times New Roman"/>
          <w:color w:val="000000" w:themeColor="text1"/>
          <w:lang w:eastAsia="zh-CN"/>
          <w14:textFill>
            <w14:solidFill>
              <w14:schemeClr w14:val="tx1"/>
            </w14:solidFill>
          </w14:textFill>
        </w:rPr>
        <w:t>二十届一中、二中全会</w:t>
      </w:r>
      <w:r>
        <w:rPr>
          <w:rFonts w:hint="default" w:ascii="Times New Roman" w:hAnsi="Times New Roman" w:cs="Times New Roman"/>
          <w:color w:val="000000" w:themeColor="text1"/>
          <w14:textFill>
            <w14:solidFill>
              <w14:schemeClr w14:val="tx1"/>
            </w14:solidFill>
          </w14:textFill>
        </w:rPr>
        <w:t>精神，深入贯彻落实习近平总书记考察安徽重要讲话指示精神，扎实推进实施国家和省软件产业发展战略，立足新发展阶段，完整、准确、全面贯彻新发展理念，以推动高质量发展为主题，以科技创新为根本动力，以专业软件园建设为重要抓手，聚焦“产业集聚、应用引领、人才支撑”，全力提升产业链广度与深度，大力培育存量企业，聚力引进增量企业，将软件园建设成为全市软件产业主承载区、软件产业创新创业主阵地、软件人才集聚区，推动软件产业扩规模、提质量、增效益。</w:t>
      </w:r>
    </w:p>
    <w:p w14:paraId="1615D17E">
      <w:pPr>
        <w:pStyle w:val="5"/>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26" w:name="_Toc1172"/>
      <w:bookmarkStart w:id="27" w:name="_Toc32001"/>
      <w:r>
        <w:rPr>
          <w:rFonts w:hint="default" w:ascii="Times New Roman" w:hAnsi="Times New Roman" w:cs="Times New Roman"/>
          <w:color w:val="000000" w:themeColor="text1"/>
          <w14:textFill>
            <w14:solidFill>
              <w14:schemeClr w14:val="tx1"/>
            </w14:solidFill>
          </w14:textFill>
        </w:rPr>
        <w:t>（二）基本原则</w:t>
      </w:r>
      <w:bookmarkEnd w:id="26"/>
      <w:bookmarkEnd w:id="27"/>
    </w:p>
    <w:p w14:paraId="510CD3A7">
      <w:pPr>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坚持创新驱动、示范引领</w:t>
      </w:r>
      <w:r>
        <w:rPr>
          <w:rFonts w:hint="default" w:ascii="Times New Roman" w:hAnsi="Times New Roman" w:cs="Times New Roman"/>
          <w:color w:val="000000" w:themeColor="text1"/>
          <w14:textFill>
            <w14:solidFill>
              <w14:schemeClr w14:val="tx1"/>
            </w14:solidFill>
          </w14:textFill>
        </w:rPr>
        <w:t>。坚持企业创新主体地位，强化企业创新能力提升，加快推进应用软件、新兴软件等创新成果研发。完善以企业、高校为主体的软件创新生态链，挖掘黄山高校院所在软件产业领域的创新资源，推进产学研协同创新。</w:t>
      </w:r>
    </w:p>
    <w:p w14:paraId="5A680E7D">
      <w:pPr>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坚持融合赋能、产用互促</w:t>
      </w:r>
      <w:r>
        <w:rPr>
          <w:rFonts w:hint="default" w:ascii="Times New Roman" w:hAnsi="Times New Roman" w:cs="Times New Roman"/>
          <w:color w:val="000000" w:themeColor="text1"/>
          <w14:textFill>
            <w14:solidFill>
              <w14:schemeClr w14:val="tx1"/>
            </w14:solidFill>
          </w14:textFill>
        </w:rPr>
        <w:t>。推动软件与经济社会各领域深度融合发展，通过“软件定义”加快赋能本地传统优势产业转型升级、助力实现政府现代化治理。坚持需求导向，积极开发行业应用新场景，以典型应用带动产品研发和市场拓展。</w:t>
      </w:r>
    </w:p>
    <w:p w14:paraId="38217BB6">
      <w:pPr>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b/>
          <w:bCs/>
          <w:color w:val="000000" w:themeColor="text1"/>
          <w:shd w:val="clear" w:color="auto" w:fill="FFFFFF"/>
          <w14:textFill>
            <w14:solidFill>
              <w14:schemeClr w14:val="tx1"/>
            </w14:solidFill>
          </w14:textFill>
        </w:rPr>
        <w:t>坚持首位意识、前瞻布局</w:t>
      </w:r>
      <w:r>
        <w:rPr>
          <w:rFonts w:hint="default" w:ascii="Times New Roman" w:hAnsi="Times New Roman" w:cs="Times New Roman"/>
          <w:color w:val="000000" w:themeColor="text1"/>
          <w:shd w:val="clear" w:color="auto" w:fill="FFFFFF"/>
          <w14:textFill>
            <w14:solidFill>
              <w14:schemeClr w14:val="tx1"/>
            </w14:solidFill>
          </w14:textFill>
        </w:rPr>
        <w:t>。立足黄山软件产业发展基础，在旅游、文化等优势产业应用软件领域做优首位产品；在云计算、区块链等前沿领域精心谋划、超前布局，实施一批重大工程、重点项目，抢占新兴领域制高点，为软件产业发展赢得先机。</w:t>
      </w:r>
    </w:p>
    <w:p w14:paraId="71239F0E">
      <w:pPr>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坚持开放合作、协同发展</w:t>
      </w:r>
      <w:r>
        <w:rPr>
          <w:rFonts w:hint="default" w:ascii="Times New Roman" w:hAnsi="Times New Roman" w:cs="Times New Roman"/>
          <w:color w:val="000000" w:themeColor="text1"/>
          <w14:textFill>
            <w14:solidFill>
              <w14:schemeClr w14:val="tx1"/>
            </w14:solidFill>
          </w14:textFill>
        </w:rPr>
        <w:t>。积极把握长三角一体化等重大发展机遇，深入对接杭州、上海、合肥等先发地区软件园，争取在技术创新、人才共享、资本共用等方面建立合作，推动形成区域软件产业协同发展新格局，构建良性产业发展生态。</w:t>
      </w:r>
    </w:p>
    <w:p w14:paraId="08FC86A5">
      <w:pPr>
        <w:pStyle w:val="5"/>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28" w:name="_Toc5369"/>
      <w:bookmarkStart w:id="29" w:name="_Toc14708"/>
      <w:r>
        <w:rPr>
          <w:rFonts w:hint="default" w:ascii="Times New Roman" w:hAnsi="Times New Roman" w:cs="Times New Roman"/>
          <w:color w:val="000000" w:themeColor="text1"/>
          <w14:textFill>
            <w14:solidFill>
              <w14:schemeClr w14:val="tx1"/>
            </w14:solidFill>
          </w14:textFill>
        </w:rPr>
        <w:t>（三）发展目标</w:t>
      </w:r>
      <w:bookmarkEnd w:id="28"/>
      <w:bookmarkEnd w:id="29"/>
    </w:p>
    <w:p w14:paraId="4C4278FF">
      <w:pPr>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eastAsia="仿宋_GB2312" w:cs="Times New Roman"/>
          <w:lang w:val="en-US" w:eastAsia="zh-CN"/>
        </w:rPr>
      </w:pPr>
      <w:r>
        <w:rPr>
          <w:rFonts w:hint="default" w:ascii="Times New Roman" w:hAnsi="Times New Roman" w:cs="Times New Roman"/>
          <w:color w:val="000000" w:themeColor="text1"/>
          <w14:textFill>
            <w14:solidFill>
              <w14:schemeClr w14:val="tx1"/>
            </w14:solidFill>
          </w14:textFill>
        </w:rPr>
        <w:t>到2027年，黄山市软件产业集聚格局基本形成，软件园承载能力、服务能力和专业化水平全面提升，带动全市软件产业</w:t>
      </w:r>
      <w:r>
        <w:rPr>
          <w:rFonts w:hint="default" w:ascii="Times New Roman" w:hAnsi="Times New Roman" w:cs="Times New Roman"/>
          <w:color w:val="000000" w:themeColor="text1"/>
          <w:lang w:val="en-US" w:eastAsia="zh-CN"/>
          <w14:textFill>
            <w14:solidFill>
              <w14:schemeClr w14:val="tx1"/>
            </w14:solidFill>
          </w14:textFill>
        </w:rPr>
        <w:t>高质量</w:t>
      </w:r>
      <w:r>
        <w:rPr>
          <w:rFonts w:hint="default" w:ascii="Times New Roman" w:hAnsi="Times New Roman" w:cs="Times New Roman"/>
          <w:color w:val="000000" w:themeColor="text1"/>
          <w14:textFill>
            <w14:solidFill>
              <w14:schemeClr w14:val="tx1"/>
            </w14:solidFill>
          </w14:textFill>
        </w:rPr>
        <w:t>发展，软件产业比较优势、核心竞争力显著增强</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力争</w:t>
      </w:r>
      <w:r>
        <w:rPr>
          <w:rFonts w:hint="default" w:ascii="Times New Roman" w:hAnsi="Times New Roman" w:cs="Times New Roman"/>
          <w:color w:val="000000" w:themeColor="text1"/>
          <w14:textFill>
            <w14:solidFill>
              <w14:schemeClr w14:val="tx1"/>
            </w14:solidFill>
          </w14:textFill>
        </w:rPr>
        <w:t>全市软件和信息服务业营业收入突破60亿元，全省排名争先进位。</w:t>
      </w:r>
      <w:r>
        <w:rPr>
          <w:rFonts w:hint="default" w:ascii="Times New Roman" w:hAnsi="Times New Roman" w:cs="Times New Roman"/>
          <w:color w:val="000000" w:themeColor="text1"/>
          <w:lang w:val="en-US" w:eastAsia="zh-CN"/>
          <w14:textFill>
            <w14:solidFill>
              <w14:schemeClr w14:val="tx1"/>
            </w14:solidFill>
          </w14:textFill>
        </w:rPr>
        <w:t>展望到2035年，黄山软件园知名度显著提升，软件和信息服务业现代产业体系全面建成，软件产业整体发展水平跨入长三角前列，争创“中国软件名园”。具体目标如下：</w:t>
      </w:r>
    </w:p>
    <w:p w14:paraId="2B135EC8">
      <w:pPr>
        <w:pStyle w:val="2"/>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——企业培育展现新作为。</w:t>
      </w:r>
      <w:r>
        <w:rPr>
          <w:rFonts w:hint="default" w:ascii="Times New Roman" w:hAnsi="Times New Roman" w:cs="Times New Roman"/>
          <w:color w:val="000000" w:themeColor="text1"/>
          <w14:textFill>
            <w14:solidFill>
              <w14:schemeClr w14:val="tx1"/>
            </w14:solidFill>
          </w14:textFill>
        </w:rPr>
        <w:t>力争到2027年，培育规上企业20家以上，高新技术企业15家以上。</w:t>
      </w:r>
    </w:p>
    <w:p w14:paraId="34FD2187">
      <w:pPr>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——产业集聚呈现新格局。</w:t>
      </w:r>
      <w:r>
        <w:rPr>
          <w:rFonts w:hint="default" w:ascii="Times New Roman" w:hAnsi="Times New Roman" w:cs="Times New Roman"/>
          <w:color w:val="000000" w:themeColor="text1"/>
          <w14:textFill>
            <w14:solidFill>
              <w14:schemeClr w14:val="tx1"/>
            </w14:solidFill>
          </w14:textFill>
        </w:rPr>
        <w:t>力争到2027年，黄山软件园承载能力显著提升，集聚优势不断凸显，园区入驻企业超200家，园区软件和信息服务业营收达40亿元。</w:t>
      </w:r>
    </w:p>
    <w:p w14:paraId="6CEED149">
      <w:pPr>
        <w:pStyle w:val="2"/>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lang w:val="en-US" w:eastAsia="zh-CN"/>
        </w:rPr>
      </w:pPr>
      <w:r>
        <w:rPr>
          <w:rFonts w:hint="default" w:ascii="Times New Roman" w:hAnsi="Times New Roman" w:cs="Times New Roman"/>
          <w:b/>
          <w:bCs/>
          <w:color w:val="000000" w:themeColor="text1"/>
          <w:lang w:eastAsia="zh-CN"/>
          <w14:textFill>
            <w14:solidFill>
              <w14:schemeClr w14:val="tx1"/>
            </w14:solidFill>
          </w14:textFill>
        </w:rPr>
        <w:t>——</w:t>
      </w:r>
      <w:r>
        <w:rPr>
          <w:rFonts w:hint="default" w:ascii="Times New Roman" w:hAnsi="Times New Roman" w:cs="Times New Roman"/>
          <w:b/>
          <w:bCs/>
          <w:color w:val="000000" w:themeColor="text1"/>
          <w:lang w:val="en-US" w:eastAsia="zh-CN"/>
          <w14:textFill>
            <w14:solidFill>
              <w14:schemeClr w14:val="tx1"/>
            </w14:solidFill>
          </w14:textFill>
        </w:rPr>
        <w:t>创新能力形成新力量</w:t>
      </w:r>
      <w:r>
        <w:rPr>
          <w:rFonts w:hint="default" w:ascii="Times New Roman" w:hAnsi="Times New Roman" w:cs="Times New Roman"/>
          <w:color w:val="000000" w:themeColor="text1"/>
          <w:lang w:val="en-US" w:eastAsia="zh-CN"/>
          <w14:textFill>
            <w14:solidFill>
              <w14:schemeClr w14:val="tx1"/>
            </w14:solidFill>
          </w14:textFill>
        </w:rPr>
        <w:t>。力争到2027年，建成一批软件和信息技术协同创新中心、企业技术中心、新型研发平台、应用创新中心等创新平台。在智慧旅游、数字创意等行业应用软件领域拥有核心知识产权，打造一批全国知名软件技术及产品，在工业软件、大数据及云计算等领域获得创新性突破。</w:t>
      </w:r>
    </w:p>
    <w:p w14:paraId="287CEE5E">
      <w:pPr>
        <w:pStyle w:val="8"/>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b/>
          <w:bCs/>
          <w:color w:val="000000" w:themeColor="text1"/>
          <w:sz w:val="32"/>
          <w:szCs w:val="24"/>
          <w14:textFill>
            <w14:solidFill>
              <w14:schemeClr w14:val="tx1"/>
            </w14:solidFill>
          </w14:textFill>
        </w:rPr>
        <w:t>——人才引培取得新突破。</w:t>
      </w:r>
      <w:r>
        <w:rPr>
          <w:rFonts w:hint="default" w:ascii="Times New Roman" w:hAnsi="Times New Roman" w:eastAsia="仿宋_GB2312" w:cs="Times New Roman"/>
          <w:color w:val="000000" w:themeColor="text1"/>
          <w:sz w:val="32"/>
          <w:szCs w:val="24"/>
          <w14:textFill>
            <w14:solidFill>
              <w14:schemeClr w14:val="tx1"/>
            </w14:solidFill>
          </w14:textFill>
        </w:rPr>
        <w:t>力争到2027年，成功引培一批软件行业人才，领军型创业人才、优秀创业青年、核心业务骨干等软件高端人才占比不断提升，形成结构合理的软件人才队伍。</w:t>
      </w:r>
    </w:p>
    <w:p w14:paraId="2C8993EF">
      <w:pPr>
        <w:pStyle w:val="4"/>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bookmarkStart w:id="30" w:name="_Toc13442"/>
      <w:bookmarkStart w:id="31" w:name="_Toc25268"/>
      <w:r>
        <w:rPr>
          <w:rFonts w:hint="default" w:ascii="Times New Roman" w:hAnsi="Times New Roman" w:cs="Times New Roman"/>
          <w:color w:val="000000" w:themeColor="text1"/>
          <w14:textFill>
            <w14:solidFill>
              <w14:schemeClr w14:val="tx1"/>
            </w14:solidFill>
          </w14:textFill>
        </w:rPr>
        <w:t>四、</w:t>
      </w:r>
      <w:bookmarkEnd w:id="30"/>
      <w:r>
        <w:rPr>
          <w:rFonts w:hint="default" w:ascii="Times New Roman" w:hAnsi="Times New Roman" w:cs="Times New Roman"/>
          <w:color w:val="000000" w:themeColor="text1"/>
          <w14:textFill>
            <w14:solidFill>
              <w14:schemeClr w14:val="tx1"/>
            </w14:solidFill>
          </w14:textFill>
        </w:rPr>
        <w:t>整体战略</w:t>
      </w:r>
      <w:bookmarkEnd w:id="31"/>
    </w:p>
    <w:p w14:paraId="3AC390A2">
      <w:pPr>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实施软件园“328”整体发展战略，锚定园区三大战略定位、二元空间发展格局、八大产业细分领域布局精准发力。</w:t>
      </w:r>
    </w:p>
    <w:p w14:paraId="697A9F5F">
      <w:pPr>
        <w:pStyle w:val="5"/>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32" w:name="_Toc18571"/>
      <w:r>
        <w:rPr>
          <w:rFonts w:hint="default" w:ascii="Times New Roman" w:hAnsi="Times New Roman" w:cs="Times New Roman"/>
          <w:color w:val="000000" w:themeColor="text1"/>
          <w14:textFill>
            <w14:solidFill>
              <w14:schemeClr w14:val="tx1"/>
            </w14:solidFill>
          </w14:textFill>
        </w:rPr>
        <w:t>（一）战略定位</w:t>
      </w:r>
      <w:bookmarkEnd w:id="32"/>
    </w:p>
    <w:p w14:paraId="33F56BA2">
      <w:pPr>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——软件产业主承载区。</w:t>
      </w:r>
      <w:r>
        <w:rPr>
          <w:rFonts w:hint="default" w:ascii="Times New Roman" w:hAnsi="Times New Roman" w:cs="Times New Roman"/>
          <w:color w:val="000000" w:themeColor="text1"/>
          <w14:textFill>
            <w14:solidFill>
              <w14:schemeClr w14:val="tx1"/>
            </w14:solidFill>
          </w14:textFill>
        </w:rPr>
        <w:t>推动全市软件企业向园区集聚，支持软件领域招商项目优先落户园区，进一步提升园区产业承载能力、服务能力，带动全市软件产业集聚发展，打造软件产业发展新高地。</w:t>
      </w:r>
    </w:p>
    <w:p w14:paraId="1DC5F0E3">
      <w:pPr>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——软件产业创新创业主阵地。</w:t>
      </w:r>
      <w:r>
        <w:rPr>
          <w:rFonts w:hint="default" w:ascii="Times New Roman" w:hAnsi="Times New Roman" w:cs="Times New Roman"/>
          <w:color w:val="000000" w:themeColor="text1"/>
          <w14:textFill>
            <w14:solidFill>
              <w14:schemeClr w14:val="tx1"/>
            </w14:solidFill>
          </w14:textFill>
        </w:rPr>
        <w:t>加强园区孵化服务、创业指导服务，主动对接软件领域创业团队及黄山学院、黄山职业技术学院等本地高校软件科研项目，争取在园区孵化转化，增强创新创业“活力值”。</w:t>
      </w:r>
    </w:p>
    <w:p w14:paraId="0E1A0FDD">
      <w:pPr>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——软件人才集聚区。</w:t>
      </w:r>
      <w:r>
        <w:rPr>
          <w:rFonts w:hint="default" w:ascii="Times New Roman" w:hAnsi="Times New Roman" w:cs="Times New Roman"/>
          <w:color w:val="000000" w:themeColor="text1"/>
          <w14:textFill>
            <w14:solidFill>
              <w14:schemeClr w14:val="tx1"/>
            </w14:solidFill>
          </w14:textFill>
        </w:rPr>
        <w:t>积极引进、培育、集聚软件人才，鼓励软件领域企业、高校专家教授等通过挂职指导、建设软件工作室等方式参与园区建设，加快信创实验室、教学科研平台落地建设，联合企业、高校搭建软件实训基地，建立健全人才配套服务体系，吸引人才“落地生根”，赋能全市软件产业发展。</w:t>
      </w:r>
    </w:p>
    <w:p w14:paraId="0496901C">
      <w:pPr>
        <w:pStyle w:val="5"/>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33" w:name="_Toc14884"/>
      <w:r>
        <w:rPr>
          <w:rFonts w:hint="default" w:ascii="Times New Roman" w:hAnsi="Times New Roman" w:cs="Times New Roman"/>
          <w:color w:val="000000" w:themeColor="text1"/>
          <w14:textFill>
            <w14:solidFill>
              <w14:schemeClr w14:val="tx1"/>
            </w14:solidFill>
          </w14:textFill>
        </w:rPr>
        <w:t>（二）空间格局</w:t>
      </w:r>
      <w:bookmarkEnd w:id="33"/>
    </w:p>
    <w:p w14:paraId="3BDD9D49">
      <w:pPr>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以黄山现代服务业产业园作为主承载区，其中文创小镇作为软件园启动区，园区建筑面积4.8万</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，重点发展智慧旅游、大数据及云计算服务、数字乡村、数字政府等领域；中安科创城作为软件园综合发展区，园区建筑面积13.7万</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，支持智慧旅游、数字创意、数字乡村、数字政府、工业互联网平台软件等领域企业入驻。聚力打造以“文创小镇+中安科创城”为核心的软件园二元空间发展格局。</w:t>
      </w:r>
    </w:p>
    <w:p w14:paraId="4B3F4DC7">
      <w:pPr>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将置地广场、屯溪区数字经济发展中心、未来科技城作为软件园辅助发展区，重点培育园内存量软件企业，支持有需求的企业向文创小镇、中安科创城主承载区集聚。</w:t>
      </w:r>
    </w:p>
    <w:p w14:paraId="3C65C813">
      <w:pPr>
        <w:spacing w:line="240" w:lineRule="auto"/>
        <w:ind w:firstLine="0" w:firstLineChars="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5615940" cy="4105275"/>
            <wp:effectExtent l="0" t="0" r="10160" b="9525"/>
            <wp:docPr id="7" name="图片 7" descr="黄山软件园发展规划布局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黄山软件园发展规划布局图"/>
                    <pic:cNvPicPr>
                      <a:picLocks noChangeAspect="1"/>
                    </pic:cNvPicPr>
                  </pic:nvPicPr>
                  <pic:blipFill>
                    <a:blip r:embed="rId14"/>
                    <a:stretch>
                      <a:fillRect/>
                    </a:stretch>
                  </pic:blipFill>
                  <pic:spPr>
                    <a:xfrm>
                      <a:off x="0" y="0"/>
                      <a:ext cx="5615940" cy="4105275"/>
                    </a:xfrm>
                    <a:prstGeom prst="rect">
                      <a:avLst/>
                    </a:prstGeom>
                  </pic:spPr>
                </pic:pic>
              </a:graphicData>
            </a:graphic>
          </wp:inline>
        </w:drawing>
      </w:r>
    </w:p>
    <w:p w14:paraId="3F35C639">
      <w:pPr>
        <w:ind w:firstLine="0" w:firstLineChars="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图1 黄山市软件园建设布局图</w:t>
      </w:r>
    </w:p>
    <w:p w14:paraId="7A58D52F">
      <w:pPr>
        <w:pStyle w:val="5"/>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eastAsia="楷体_GB2312" w:cs="Times New Roman"/>
          <w:color w:val="000000" w:themeColor="text1"/>
          <w:lang w:val="en-US" w:eastAsia="zh-CN"/>
          <w14:textFill>
            <w14:solidFill>
              <w14:schemeClr w14:val="tx1"/>
            </w14:solidFill>
          </w14:textFill>
        </w:rPr>
      </w:pPr>
      <w:bookmarkStart w:id="34" w:name="_Toc2928"/>
      <w:r>
        <w:rPr>
          <w:rFonts w:hint="default" w:ascii="Times New Roman" w:hAnsi="Times New Roman" w:cs="Times New Roman"/>
          <w:color w:val="000000" w:themeColor="text1"/>
          <w14:textFill>
            <w14:solidFill>
              <w14:schemeClr w14:val="tx1"/>
            </w14:solidFill>
          </w14:textFill>
        </w:rPr>
        <w:t>（三）产业</w:t>
      </w:r>
      <w:bookmarkEnd w:id="34"/>
      <w:r>
        <w:rPr>
          <w:rFonts w:hint="default" w:ascii="Times New Roman" w:hAnsi="Times New Roman" w:cs="Times New Roman"/>
          <w:color w:val="000000" w:themeColor="text1"/>
          <w:lang w:val="en-US" w:eastAsia="zh-CN"/>
          <w14:textFill>
            <w14:solidFill>
              <w14:schemeClr w14:val="tx1"/>
            </w14:solidFill>
          </w14:textFill>
        </w:rPr>
        <w:t>发展重点</w:t>
      </w:r>
    </w:p>
    <w:p w14:paraId="659DF0ED">
      <w:pPr>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立足黄山软件产业发展现状与特色优势资源，聚焦关键领域和关键环节，在智慧旅游、数字创意、数字乡村、数字政府等应用软件领域全面发力，培育发展工业互联网平台软件、能碳及生态环境监管软件、大数据云计算服务、区块链软件等新兴领域，构建“4+4”黄山特色软件产业体系。</w:t>
      </w:r>
    </w:p>
    <w:p w14:paraId="21069CD4">
      <w:pPr>
        <w:pStyle w:val="8"/>
        <w:pageBreakBefore w:val="0"/>
        <w:widowControl w:val="0"/>
        <w:kinsoku/>
        <w:wordWrap/>
        <w:overflowPunct/>
        <w:topLinePunct w:val="0"/>
        <w:autoSpaceDE/>
        <w:autoSpaceDN/>
        <w:bidi w:val="0"/>
        <w:spacing w:line="620" w:lineRule="exact"/>
        <w:ind w:firstLine="643"/>
        <w:textAlignment w:val="auto"/>
        <w:outlineLvl w:val="2"/>
        <w:rPr>
          <w:rFonts w:hint="default" w:ascii="Times New Roman" w:hAnsi="Times New Roman" w:cs="Times New Roman"/>
          <w:color w:val="000000" w:themeColor="text1"/>
          <w14:textFill>
            <w14:solidFill>
              <w14:schemeClr w14:val="tx1"/>
            </w14:solidFill>
          </w14:textFill>
        </w:rPr>
      </w:pPr>
      <w:bookmarkStart w:id="35" w:name="_Toc3431"/>
      <w:r>
        <w:rPr>
          <w:rFonts w:hint="default" w:ascii="Times New Roman" w:hAnsi="Times New Roman" w:eastAsia="仿宋_GB2312" w:cs="Times New Roman"/>
          <w:b/>
          <w:bCs/>
          <w:color w:val="000000" w:themeColor="text1"/>
          <w:sz w:val="32"/>
          <w:szCs w:val="32"/>
          <w14:textFill>
            <w14:solidFill>
              <w14:schemeClr w14:val="tx1"/>
            </w14:solidFill>
          </w14:textFill>
        </w:rPr>
        <w:t>1.立足场景需求，扎实布局四大应用软件</w:t>
      </w:r>
      <w:bookmarkEnd w:id="35"/>
    </w:p>
    <w:p w14:paraId="141A5715">
      <w:pPr>
        <w:pageBreakBefore w:val="0"/>
        <w:widowControl w:val="0"/>
        <w:kinsoku/>
        <w:wordWrap/>
        <w:overflowPunct/>
        <w:topLinePunct w:val="0"/>
        <w:autoSpaceDE/>
        <w:autoSpaceDN/>
        <w:bidi w:val="0"/>
        <w:spacing w:line="620" w:lineRule="exact"/>
        <w:ind w:firstLine="643"/>
        <w:textAlignment w:val="auto"/>
        <w:outlineLvl w:val="3"/>
        <w:rPr>
          <w:rFonts w:hint="default" w:ascii="Times New Roman" w:hAnsi="Times New Roman" w:cs="Times New Roman"/>
          <w:b/>
          <w:bCs/>
          <w:color w:val="000000" w:themeColor="text1"/>
          <w14:textFill>
            <w14:solidFill>
              <w14:schemeClr w14:val="tx1"/>
            </w14:solidFill>
          </w14:textFill>
        </w:rPr>
      </w:pPr>
      <w:bookmarkStart w:id="36" w:name="_Toc25859"/>
      <w:bookmarkStart w:id="37" w:name="_Toc27463"/>
      <w:r>
        <w:rPr>
          <w:rFonts w:hint="default" w:ascii="Times New Roman" w:hAnsi="Times New Roman" w:cs="Times New Roman"/>
          <w:b/>
          <w:bCs/>
          <w:color w:val="000000" w:themeColor="text1"/>
          <w14:textFill>
            <w14:solidFill>
              <w14:schemeClr w14:val="tx1"/>
            </w14:solidFill>
          </w14:textFill>
        </w:rPr>
        <w:t>（1）智慧旅游</w:t>
      </w:r>
      <w:bookmarkEnd w:id="36"/>
      <w:bookmarkEnd w:id="37"/>
    </w:p>
    <w:p w14:paraId="659C3101">
      <w:pPr>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依托黄山旅游资源优势，面向智慧旅游软件需求，加快旅游行业应用软件发展，重点开发智慧旅游服务类软件、管理类软件、营销类软件等领域，打造</w:t>
      </w:r>
      <w:r>
        <w:rPr>
          <w:rFonts w:hint="default" w:ascii="Times New Roman" w:hAnsi="Times New Roman" w:cs="Times New Roman"/>
          <w:color w:val="000000" w:themeColor="text1"/>
          <w:lang w:val="en-US" w:eastAsia="zh-CN"/>
          <w14:textFill>
            <w14:solidFill>
              <w14:schemeClr w14:val="tx1"/>
            </w14:solidFill>
          </w14:textFill>
        </w:rPr>
        <w:t>全国知名的</w:t>
      </w:r>
      <w:r>
        <w:rPr>
          <w:rFonts w:hint="default" w:ascii="Times New Roman" w:hAnsi="Times New Roman" w:cs="Times New Roman"/>
          <w:color w:val="000000" w:themeColor="text1"/>
          <w14:textFill>
            <w14:solidFill>
              <w14:schemeClr w14:val="tx1"/>
            </w14:solidFill>
          </w14:textFill>
        </w:rPr>
        <w:t>旅游行业应用软件特色集群。</w:t>
      </w:r>
    </w:p>
    <w:p w14:paraId="6CCFC39D">
      <w:pPr>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做强智慧旅游服务类软件。</w:t>
      </w:r>
      <w:r>
        <w:rPr>
          <w:rFonts w:hint="default" w:ascii="Times New Roman" w:hAnsi="Times New Roman" w:cs="Times New Roman"/>
          <w:color w:val="000000" w:themeColor="text1"/>
          <w14:textFill>
            <w14:solidFill>
              <w14:schemeClr w14:val="tx1"/>
            </w14:solidFill>
          </w14:textFill>
        </w:rPr>
        <w:t>紧抓智慧景区建设契机，围绕黄山风景区、宏村、西递等各旅游景区特色，鼓励企业利用虚拟现实（VR）、增强现实（AR）、3D全息投影、智能交互、5G、超高清等技术，重点开发VR体验、云游览、虚拟互动、景区直播、数字讲解等智能应用场景APP或小程序。支持企业探索开发景区内部导航系统、自驾游GIS服务小程序等软件，提供自驾游一站式智慧服务。引导企业加大智慧旅游公共服务平台功能优化创新，丰富酒店餐饮等资源展示预约、资讯发布、导航导览、智能客服、智能搜索、咨询投诉、无障碍访问等功能端，开发针对老年人等特殊群体的专门应用程序和友好界面，提升旅游服务平台开发领域市场影响力。</w:t>
      </w:r>
      <w:r>
        <w:rPr>
          <w:rFonts w:hint="default" w:ascii="Times New Roman" w:hAnsi="Times New Roman" w:cs="Times New Roman"/>
          <w:b/>
          <w:bCs/>
          <w:color w:val="000000" w:themeColor="text1"/>
          <w14:textFill>
            <w14:solidFill>
              <w14:schemeClr w14:val="tx1"/>
            </w14:solidFill>
          </w14:textFill>
        </w:rPr>
        <w:t>布局开发智慧旅游管理类软件。</w:t>
      </w:r>
      <w:r>
        <w:rPr>
          <w:rFonts w:hint="default" w:ascii="Times New Roman" w:hAnsi="Times New Roman" w:cs="Times New Roman"/>
          <w:color w:val="000000" w:themeColor="text1"/>
          <w14:textFill>
            <w14:solidFill>
              <w14:schemeClr w14:val="tx1"/>
            </w14:solidFill>
          </w14:textFill>
        </w:rPr>
        <w:t>支持企业开发集预警、调度、视频会议、远程培训、数据统计等功能于一体的旅游应急指挥调度系统。依托黄山旅游大数据平台优势，加快整合旅游“吃、住、行、游、购、娱”多维综合数据，完善旅游大数据基底；支持企业依托黄山旅游大数据平台态势感知、客流监测、文旅监管、精准营销模型算法基础，布局针对游客数量、行为喜好、消费习惯、景区流量、交通运行、旅游投诉等多维度旅游大数据分析、处理与挖掘的数据管理服务领域。</w:t>
      </w:r>
      <w:r>
        <w:rPr>
          <w:rFonts w:hint="default" w:ascii="Times New Roman" w:hAnsi="Times New Roman" w:cs="Times New Roman"/>
          <w:b/>
          <w:bCs/>
          <w:color w:val="000000" w:themeColor="text1"/>
          <w14:textFill>
            <w14:solidFill>
              <w14:schemeClr w14:val="tx1"/>
            </w14:solidFill>
          </w14:textFill>
        </w:rPr>
        <w:t>大力开发智慧旅游营销类软件。</w:t>
      </w:r>
      <w:r>
        <w:rPr>
          <w:rFonts w:hint="default" w:ascii="Times New Roman" w:hAnsi="Times New Roman" w:cs="Times New Roman"/>
          <w:color w:val="000000" w:themeColor="text1"/>
          <w14:textFill>
            <w14:solidFill>
              <w14:schemeClr w14:val="tx1"/>
            </w14:solidFill>
          </w14:textFill>
        </w:rPr>
        <w:t>支持企业做优B2C、B2B等旅游电商系统，鼓励开发B2B2C旅游商城管理系统，打造全方位多功能的旅游电商平台。支持短视频营销、网络直播营销、新媒体营销等智慧旅游营销平台开发，支持企业大力开发直播电商等所需的配套供应链系统，打造智慧旅游全链路运营服务。</w:t>
      </w:r>
    </w:p>
    <w:p w14:paraId="0AE867A1">
      <w:pPr>
        <w:pageBreakBefore w:val="0"/>
        <w:widowControl w:val="0"/>
        <w:kinsoku/>
        <w:wordWrap/>
        <w:overflowPunct/>
        <w:topLinePunct w:val="0"/>
        <w:autoSpaceDE/>
        <w:autoSpaceDN/>
        <w:bidi w:val="0"/>
        <w:spacing w:line="620" w:lineRule="exact"/>
        <w:ind w:firstLine="643"/>
        <w:textAlignment w:val="auto"/>
        <w:outlineLvl w:val="3"/>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（2）数字创意</w:t>
      </w:r>
    </w:p>
    <w:p w14:paraId="4B9F3CD0">
      <w:pPr>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依托徽文化、黄山IP等特色资源，推动数字技术应用，开发一批数字内容、数字文创产品，培育新兴数字消费模式。</w:t>
      </w:r>
    </w:p>
    <w:p w14:paraId="77CF4FB5">
      <w:pPr>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大力支持数字内容创作</w:t>
      </w:r>
      <w:r>
        <w:rPr>
          <w:rFonts w:hint="default" w:ascii="Times New Roman" w:hAnsi="Times New Roman" w:cs="Times New Roman"/>
          <w:color w:val="000000" w:themeColor="text1"/>
          <w14:textFill>
            <w14:solidFill>
              <w14:schemeClr w14:val="tx1"/>
            </w14:solidFill>
          </w14:textFill>
        </w:rPr>
        <w:t>。深入挖掘徽州传统建筑、文化典故、徽州手工艺、徽州美食等特色资源，运用网络游戏、动漫、网络文学、网络音乐、网络表演、数字艺术等产业形态，推出系列数字内容产品。积极培育文艺资源数字化转化企业，运用“5G+超高清直播”“VR视频”等技术创新作品展现形式，推动鱼灯、舞龙、跳竹马、目连戏、美溪唢呐等传统线下文艺资源转化为数字内容。</w:t>
      </w:r>
      <w:r>
        <w:rPr>
          <w:rFonts w:hint="default" w:ascii="Times New Roman" w:hAnsi="Times New Roman" w:cs="Times New Roman"/>
          <w:b/>
          <w:bCs/>
          <w:color w:val="000000" w:themeColor="text1"/>
          <w14:textFill>
            <w14:solidFill>
              <w14:schemeClr w14:val="tx1"/>
            </w14:solidFill>
          </w14:textFill>
        </w:rPr>
        <w:t>强化开发数字文创产品</w:t>
      </w:r>
      <w:r>
        <w:rPr>
          <w:rFonts w:hint="default" w:ascii="Times New Roman" w:hAnsi="Times New Roman" w:cs="Times New Roman"/>
          <w:color w:val="000000" w:themeColor="text1"/>
          <w14:textFill>
            <w14:solidFill>
              <w14:schemeClr w14:val="tx1"/>
            </w14:solidFill>
          </w14:textFill>
        </w:rPr>
        <w:t>。鼓励旅游景区、文物单位推广黄山旅游IP转化模式，加强与软件平台、企业合作，运用数字形式的图片、音乐、视频、3D模型等，围绕景区IP、文物、大师手工艺品等创造一批数字文创产品、数字藏品。</w:t>
      </w:r>
      <w:r>
        <w:rPr>
          <w:rFonts w:hint="default" w:ascii="Times New Roman" w:hAnsi="Times New Roman" w:cs="Times New Roman"/>
          <w:b/>
          <w:bCs/>
          <w:color w:val="000000" w:themeColor="text1"/>
          <w14:textFill>
            <w14:solidFill>
              <w14:schemeClr w14:val="tx1"/>
            </w14:solidFill>
          </w14:textFill>
        </w:rPr>
        <w:t>培育数字消费新模式</w:t>
      </w:r>
      <w:r>
        <w:rPr>
          <w:rFonts w:hint="default" w:ascii="Times New Roman" w:hAnsi="Times New Roman" w:cs="Times New Roman"/>
          <w:color w:val="000000" w:themeColor="text1"/>
          <w14:textFill>
            <w14:solidFill>
              <w14:schemeClr w14:val="tx1"/>
            </w14:solidFill>
          </w14:textFill>
        </w:rPr>
        <w:t xml:space="preserve">。支持运用数字技术建设“元宇宙+消费”“VR+体验消费”等新型消费场景，促进数字创意与虚拟现实购物、社交电商等在线新经济结合，创作满足年轻用户多样化、个性化需求的数字产品与在线服务。                </w:t>
      </w:r>
    </w:p>
    <w:p w14:paraId="4021022F">
      <w:pPr>
        <w:pageBreakBefore w:val="0"/>
        <w:widowControl w:val="0"/>
        <w:kinsoku/>
        <w:wordWrap/>
        <w:overflowPunct/>
        <w:topLinePunct w:val="0"/>
        <w:autoSpaceDE/>
        <w:autoSpaceDN/>
        <w:bidi w:val="0"/>
        <w:spacing w:line="620" w:lineRule="exact"/>
        <w:ind w:firstLine="643"/>
        <w:textAlignment w:val="auto"/>
        <w:outlineLvl w:val="3"/>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（3）数字乡村</w:t>
      </w:r>
    </w:p>
    <w:p w14:paraId="625B89A6">
      <w:pPr>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以数字技术与农业农村经济深度融合为主攻方向，加快农业农村生产、经营、管理、服务数字化改造。</w:t>
      </w:r>
    </w:p>
    <w:p w14:paraId="50C8D10D">
      <w:pPr>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重点发展智慧农业软件及信息服务</w:t>
      </w:r>
      <w:r>
        <w:rPr>
          <w:rFonts w:hint="default" w:ascii="Times New Roman" w:hAnsi="Times New Roman" w:cs="Times New Roman"/>
          <w:color w:val="000000" w:themeColor="text1"/>
          <w14:textFill>
            <w14:solidFill>
              <w14:schemeClr w14:val="tx1"/>
            </w14:solidFill>
          </w14:textFill>
        </w:rPr>
        <w:t>。围绕农业生产管理、经营管理、市场流通等环节，大力支持农业智能控制系统、产品质量安全追溯系统、农产品质量监督系统、农业大数据智慧应用平台、农产品电商平台等产品开发应用，鼓励智慧农业软件企业为本市农业生产经营者提供一体化智慧农业解决方案。推进歙县国家级数字乡村试点以及黟县、徽州区西溪南镇、休宁县鹤城乡省级数字乡村试点建设。推进种植业、畜牧业、渔业、农产品加工等生产过程数字化转型升级，开展茶产业工业互联网应用示范，建设一批数字农业工厂、数字农业应用场景。实施“互联网+”农产品“出村进城”工程，推进农村电商高质量发展。</w:t>
      </w:r>
      <w:r>
        <w:rPr>
          <w:rFonts w:hint="default" w:ascii="Times New Roman" w:hAnsi="Times New Roman" w:cs="Times New Roman"/>
          <w:b/>
          <w:bCs/>
          <w:color w:val="000000" w:themeColor="text1"/>
          <w14:textFill>
            <w14:solidFill>
              <w14:schemeClr w14:val="tx1"/>
            </w14:solidFill>
          </w14:textFill>
        </w:rPr>
        <w:t>延伸发展乡村治理平台软件</w:t>
      </w:r>
      <w:r>
        <w:rPr>
          <w:rFonts w:hint="default" w:ascii="Times New Roman" w:hAnsi="Times New Roman" w:cs="Times New Roman"/>
          <w:color w:val="000000" w:themeColor="text1"/>
          <w14:textFill>
            <w14:solidFill>
              <w14:schemeClr w14:val="tx1"/>
            </w14:solidFill>
          </w14:textFill>
        </w:rPr>
        <w:t>。充分发挥信息化在推进乡村治理体系和治理能力现代化中的基础支撑作用，构建乡村数字治理新体系。聚焦村集体资产管理、乡村应急管理、线上便民服务等应用场景，开发“智慧村庄”“乡村智慧预警”等乡村综合管理服务平台。围绕乡村数字平台部署市场，大力培育面向乡村数字化改革的信息服务企业，为乡村组织提供数字平台咨询、部署、运维一站式服务。</w:t>
      </w:r>
    </w:p>
    <w:p w14:paraId="535DF5DA">
      <w:pPr>
        <w:pageBreakBefore w:val="0"/>
        <w:widowControl w:val="0"/>
        <w:kinsoku/>
        <w:wordWrap/>
        <w:overflowPunct/>
        <w:topLinePunct w:val="0"/>
        <w:autoSpaceDE/>
        <w:autoSpaceDN/>
        <w:bidi w:val="0"/>
        <w:spacing w:line="620" w:lineRule="exact"/>
        <w:ind w:firstLine="643"/>
        <w:textAlignment w:val="auto"/>
        <w:outlineLvl w:val="3"/>
        <w:rPr>
          <w:rFonts w:hint="default" w:ascii="Times New Roman" w:hAnsi="Times New Roman" w:cs="Times New Roman"/>
          <w:b/>
          <w:bCs/>
          <w:color w:val="000000" w:themeColor="text1"/>
          <w14:textFill>
            <w14:solidFill>
              <w14:schemeClr w14:val="tx1"/>
            </w14:solidFill>
          </w14:textFill>
        </w:rPr>
      </w:pPr>
      <w:bookmarkStart w:id="38" w:name="_Toc4505"/>
      <w:bookmarkStart w:id="39" w:name="_Toc19288"/>
      <w:r>
        <w:rPr>
          <w:rFonts w:hint="default" w:ascii="Times New Roman" w:hAnsi="Times New Roman" w:cs="Times New Roman"/>
          <w:b/>
          <w:bCs/>
          <w:color w:val="000000" w:themeColor="text1"/>
          <w14:textFill>
            <w14:solidFill>
              <w14:schemeClr w14:val="tx1"/>
            </w14:solidFill>
          </w14:textFill>
        </w:rPr>
        <w:t>（4）数字政府</w:t>
      </w:r>
      <w:bookmarkEnd w:id="38"/>
      <w:bookmarkEnd w:id="39"/>
    </w:p>
    <w:p w14:paraId="470CAF1C">
      <w:pPr>
        <w:pageBreakBefore w:val="0"/>
        <w:widowControl w:val="0"/>
        <w:tabs>
          <w:tab w:val="center" w:pos="4473"/>
        </w:tabs>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立足数字政府领域企业发展基础，依托黄山数字政府创建需求，重点发展政务数据服务、政务服务软件、社会治理软件等领域。</w:t>
      </w:r>
    </w:p>
    <w:p w14:paraId="7392DA7B">
      <w:pPr>
        <w:pageBreakBefore w:val="0"/>
        <w:widowControl w:val="0"/>
        <w:tabs>
          <w:tab w:val="center" w:pos="4473"/>
        </w:tabs>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强化政务数据分析应用，依托市城市数据中心及政务信息资源共享交换平台，引导更多数据向数据服务企业开放，支持围绕金融、市场监管、交通运输等重点领域应用场景，加强相关数据清洗、加工、应用，探索开发基于大数据分析的智能主题决策系统。围绕政务服务需求，鼓励企业开发和建设政务服务事项“掌上办”、政务信息智慧搜索系统、智慧政务协同办公平台等软件，提升服务效率。加强社会治理软件开发，鼓励企业主动对接高校和科研机构，提升研发团队创新能力，大力开发智慧交通、智慧城管、平安黄山、基层治理、智慧应急、智慧消防等领域的综合监管监测系统、预测预警系统、指挥调度系统等，全力承接政府部门相关项目。</w:t>
      </w:r>
    </w:p>
    <w:p w14:paraId="4BD99CC6">
      <w:pPr>
        <w:pStyle w:val="8"/>
        <w:pageBreakBefore w:val="0"/>
        <w:widowControl w:val="0"/>
        <w:kinsoku/>
        <w:wordWrap/>
        <w:overflowPunct/>
        <w:topLinePunct w:val="0"/>
        <w:autoSpaceDE/>
        <w:autoSpaceDN/>
        <w:bidi w:val="0"/>
        <w:spacing w:line="620" w:lineRule="exact"/>
        <w:ind w:firstLine="643"/>
        <w:textAlignment w:val="auto"/>
        <w:outlineLvl w:val="2"/>
        <w:rPr>
          <w:rFonts w:hint="default" w:ascii="Times New Roman" w:hAnsi="Times New Roman" w:eastAsia="仿宋_GB2312" w:cs="Times New Roman"/>
          <w:b/>
          <w:bCs/>
          <w:color w:val="000000" w:themeColor="text1"/>
          <w:sz w:val="32"/>
          <w:szCs w:val="32"/>
          <w14:textFill>
            <w14:solidFill>
              <w14:schemeClr w14:val="tx1"/>
            </w14:solidFill>
          </w14:textFill>
        </w:rPr>
      </w:pPr>
      <w:bookmarkStart w:id="40" w:name="_Toc21693"/>
      <w:r>
        <w:rPr>
          <w:rFonts w:hint="default" w:ascii="Times New Roman" w:hAnsi="Times New Roman" w:eastAsia="仿宋_GB2312" w:cs="Times New Roman"/>
          <w:b/>
          <w:bCs/>
          <w:color w:val="000000" w:themeColor="text1"/>
          <w:sz w:val="32"/>
          <w:szCs w:val="32"/>
          <w14:textFill>
            <w14:solidFill>
              <w14:schemeClr w14:val="tx1"/>
            </w14:solidFill>
          </w14:textFill>
        </w:rPr>
        <w:t>2.瞄准行业前沿，超前</w:t>
      </w:r>
      <w:r>
        <w:rPr>
          <w:rFonts w:hint="default" w:ascii="Times New Roman" w:hAnsi="Times New Roman" w:eastAsia="仿宋_GB2312" w:cs="Times New Roman"/>
          <w:b/>
          <w:bCs/>
          <w:color w:val="000000" w:themeColor="text1"/>
          <w:sz w:val="32"/>
          <w:szCs w:val="32"/>
          <w:lang w:val="en-US" w:eastAsia="zh-CN"/>
          <w14:textFill>
            <w14:solidFill>
              <w14:schemeClr w14:val="tx1"/>
            </w14:solidFill>
          </w14:textFill>
        </w:rPr>
        <w:t>培育</w:t>
      </w:r>
      <w:r>
        <w:rPr>
          <w:rFonts w:hint="default" w:ascii="Times New Roman" w:hAnsi="Times New Roman" w:eastAsia="仿宋_GB2312" w:cs="Times New Roman"/>
          <w:b/>
          <w:bCs/>
          <w:color w:val="000000" w:themeColor="text1"/>
          <w:sz w:val="32"/>
          <w:szCs w:val="32"/>
          <w14:textFill>
            <w14:solidFill>
              <w14:schemeClr w14:val="tx1"/>
            </w14:solidFill>
          </w14:textFill>
        </w:rPr>
        <w:t>四大新兴软件</w:t>
      </w:r>
      <w:bookmarkEnd w:id="40"/>
    </w:p>
    <w:p w14:paraId="4B48FA9F">
      <w:pPr>
        <w:pageBreakBefore w:val="0"/>
        <w:widowControl w:val="0"/>
        <w:kinsoku/>
        <w:wordWrap/>
        <w:overflowPunct/>
        <w:topLinePunct w:val="0"/>
        <w:autoSpaceDE/>
        <w:autoSpaceDN/>
        <w:bidi w:val="0"/>
        <w:spacing w:line="620" w:lineRule="exact"/>
        <w:ind w:firstLine="643"/>
        <w:textAlignment w:val="auto"/>
        <w:outlineLvl w:val="3"/>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（1）工业互联网平台软件</w:t>
      </w:r>
    </w:p>
    <w:p w14:paraId="5F219E22">
      <w:pPr>
        <w:pStyle w:val="2"/>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紧跟黄山市装备制造、汽车电子、精细化工、绿色软包装等产业数字化转型需求，大力招引工业软件企业，开发工业数据分析软件、数据采集与监控系统、分布式数控与机器数据采集、制造执行系统等软件产品。支持做大做强数据采集网关产品、轮式无人巡检系统、物联网数据及平台软件服务等工业互联网领域优势产品。鼓励企业积极加入安徽省“羚羊工业互联网”平台，协助企业对接平台技术、专家、市场等高端资源，推动企业良性发展。加快推进中软黄山信创基地项目建设，积极对接中软总部，争取统计过程控制系统、生产执行系统等工业软件业务落地黄山。</w:t>
      </w:r>
    </w:p>
    <w:p w14:paraId="407E9E1D">
      <w:pPr>
        <w:pageBreakBefore w:val="0"/>
        <w:widowControl w:val="0"/>
        <w:kinsoku/>
        <w:wordWrap/>
        <w:overflowPunct/>
        <w:topLinePunct w:val="0"/>
        <w:autoSpaceDE/>
        <w:autoSpaceDN/>
        <w:bidi w:val="0"/>
        <w:spacing w:line="620" w:lineRule="exact"/>
        <w:ind w:firstLine="643"/>
        <w:textAlignment w:val="auto"/>
        <w:outlineLvl w:val="3"/>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（2）能碳及生态环境监管软件</w:t>
      </w:r>
    </w:p>
    <w:p w14:paraId="351EC10C">
      <w:pPr>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把握新安江—千岛湖生态保护补偿试验区建设契机，在生态资产在线核算、在线交易领域先试先行，支持企业、创业团队开发GEP（生态系统生产总值）核算软件、碳排放计量软件、碳排放交易管理软件、排污权在线交易平台、生态资产在线融资管理系统等能碳领域应用软件、平台软件，探索在黄山市开展应用试点。聚焦产业园区、企业在能耗、污水废气领域监管调度需求，支持数字能源管理系统、污水废气监测系统等产品开发，协同培育一批数字化平台部署、运维服务企业。瞄准城市生态环境监测需求，重点开发一批大气、地表水、噪音监测软件，加快建设城市生态数字监测及综合管理平台。</w:t>
      </w:r>
    </w:p>
    <w:p w14:paraId="5EB394C3">
      <w:pPr>
        <w:pageBreakBefore w:val="0"/>
        <w:widowControl w:val="0"/>
        <w:kinsoku/>
        <w:wordWrap/>
        <w:overflowPunct/>
        <w:topLinePunct w:val="0"/>
        <w:autoSpaceDE/>
        <w:autoSpaceDN/>
        <w:bidi w:val="0"/>
        <w:spacing w:line="620" w:lineRule="exact"/>
        <w:ind w:firstLine="643"/>
        <w:textAlignment w:val="auto"/>
        <w:outlineLvl w:val="3"/>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（3）大数据及云计算服务</w:t>
      </w:r>
    </w:p>
    <w:p w14:paraId="42BEC552">
      <w:pPr>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依托本地旅游大数据、金融大数据发展基础，重点培育大数据分析挖掘、大数据可视化、大数据采集清洗计算等大数据服务业。高标准推进中国银联大数据中心等数据基础设施项目建设，加快完善全市公共数据目录，推动政府部门整理公开政务数据，鼓励企业、研究机构等向社会共享数据，共建黄山数据资源库。抢抓与上海数据交易所战略合作机遇，加快推动上海数据交易所长三角文旅数据交易平台、国家文旅体大数据研究工程中心建设，加快释放公共数据社会价值和市场价值。鼓励大数据分析结果在信用体系建设、景区管理等领域应用，进一步完善数据采集、存储、分析、管理和应用产业链条。依托黄山云计算数据中心、黄山市电信云计算大数据中心等平台，加快招</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引一批云服务商，加强基础设施即服务（IaaS）、平台即服务（PaaS）、软件即服务（SaaS）软件研发应用力度，积极布局行业云平台、云中间件、云数据库、数据工厂、AI工厂等云产品，争取打造一批安全可靠的云产品和解决方案。</w:t>
      </w:r>
    </w:p>
    <w:p w14:paraId="5D1B1B2C">
      <w:pPr>
        <w:pageBreakBefore w:val="0"/>
        <w:widowControl w:val="0"/>
        <w:kinsoku/>
        <w:wordWrap/>
        <w:overflowPunct/>
        <w:topLinePunct w:val="0"/>
        <w:autoSpaceDE/>
        <w:autoSpaceDN/>
        <w:bidi w:val="0"/>
        <w:spacing w:line="620" w:lineRule="exact"/>
        <w:ind w:firstLine="643"/>
        <w:textAlignment w:val="auto"/>
        <w:outlineLvl w:val="3"/>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（4）区块链软件</w:t>
      </w:r>
    </w:p>
    <w:p w14:paraId="3B7992B1">
      <w:pPr>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依托与阿里巴巴、蚂蚁集团合作基础，深化区块链在金融科技、商品溯源、版权保护、交通等领域的融合应用，推广“区块链+公共资源交易”“区块链+产品溯源”等模式，探索“区块链+版权保护”“区块链+车联网”“区块链+供应链金融”等新兴应用场景。深入对接杭州、上海等合作城市，争取引进区块链网络协议、共识机制、信息安全、隐私保护等关键技术领域企业。</w:t>
      </w:r>
    </w:p>
    <w:p w14:paraId="434DE0BF">
      <w:pPr>
        <w:pStyle w:val="4"/>
        <w:keepNext w:val="0"/>
        <w:keepLines w:val="0"/>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bookmarkStart w:id="41" w:name="_Toc14065"/>
      <w:bookmarkStart w:id="42" w:name="_Toc14364"/>
      <w:r>
        <w:rPr>
          <w:rFonts w:hint="default" w:ascii="Times New Roman" w:hAnsi="Times New Roman" w:cs="Times New Roman"/>
          <w:color w:val="000000" w:themeColor="text1"/>
          <w14:textFill>
            <w14:solidFill>
              <w14:schemeClr w14:val="tx1"/>
            </w14:solidFill>
          </w14:textFill>
        </w:rPr>
        <w:t>五、主要任务</w:t>
      </w:r>
      <w:bookmarkEnd w:id="41"/>
      <w:bookmarkEnd w:id="42"/>
    </w:p>
    <w:p w14:paraId="621E9F14">
      <w:pPr>
        <w:pStyle w:val="5"/>
        <w:keepNext w:val="0"/>
        <w:keepLines w:val="0"/>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43" w:name="_Toc5003"/>
      <w:bookmarkStart w:id="44" w:name="_Toc24876"/>
      <w:r>
        <w:rPr>
          <w:rFonts w:hint="default" w:ascii="Times New Roman" w:hAnsi="Times New Roman" w:cs="Times New Roman"/>
          <w:color w:val="000000" w:themeColor="text1"/>
          <w14:textFill>
            <w14:solidFill>
              <w14:schemeClr w14:val="tx1"/>
            </w14:solidFill>
          </w14:textFill>
        </w:rPr>
        <w:t>（一）聚焦专业园区建设，推进产业集聚发展</w:t>
      </w:r>
      <w:bookmarkEnd w:id="43"/>
      <w:bookmarkEnd w:id="44"/>
    </w:p>
    <w:p w14:paraId="563E9178">
      <w:pPr>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bookmarkStart w:id="45" w:name="_Toc7045"/>
      <w:r>
        <w:rPr>
          <w:rFonts w:hint="default" w:ascii="Times New Roman" w:hAnsi="Times New Roman" w:cs="Times New Roman"/>
          <w:color w:val="000000" w:themeColor="text1"/>
          <w14:textFill>
            <w14:solidFill>
              <w14:schemeClr w14:val="tx1"/>
            </w14:solidFill>
          </w14:textFill>
        </w:rPr>
        <w:t>对标合肥软件园、南京软件园、杭州东部软件园等一流园区，加强黄山软件园建设，持续完善园区基础设施、运营管理模式，提升专业化服务水平，打造软件产业集聚区。</w:t>
      </w:r>
    </w:p>
    <w:p w14:paraId="5C019EC5">
      <w:pPr>
        <w:pStyle w:val="6"/>
        <w:keepNext w:val="0"/>
        <w:keepLines w:val="0"/>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1.完善园区基础设施</w:t>
      </w:r>
      <w:bookmarkEnd w:id="45"/>
    </w:p>
    <w:p w14:paraId="4B1183CC">
      <w:pPr>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充分利用黄山文创小镇、中安科创城等现有办公场所资源，深入对接软件企业需求，按需升级改造园区办公室、供电、交通、园林绿化等基础设施，对园区电网改造、公交路线计划等项目优先安排。推进园区通信基础设施改造升级，加快城市千兆网络、窄带物联网、IPv6等在园区规模部署应用，推动数据中心等新型基础设施按需建设。围绕智慧安防、智慧管理、智慧交通、智慧展示等智慧园区场景，积极推广5G应用。完善软件园周边商场、餐馆、住宅、医院等生活配套，进一步满足园区从业者生活娱乐需求。</w:t>
      </w:r>
    </w:p>
    <w:p w14:paraId="3419D52B">
      <w:pPr>
        <w:pStyle w:val="6"/>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46" w:name="_Toc29686"/>
      <w:r>
        <w:rPr>
          <w:rFonts w:hint="default" w:ascii="Times New Roman" w:hAnsi="Times New Roman" w:cs="Times New Roman"/>
          <w:color w:val="000000" w:themeColor="text1"/>
          <w14:textFill>
            <w14:solidFill>
              <w14:schemeClr w14:val="tx1"/>
            </w14:solidFill>
          </w14:textFill>
        </w:rPr>
        <w:t>2.提升园区服务水平</w:t>
      </w:r>
      <w:bookmarkEnd w:id="46"/>
    </w:p>
    <w:p w14:paraId="61D2CAED">
      <w:pPr>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积极招引软件和信息服务领域专业产业服务机构入驻，为园区企业提供软件测试服务、软件产品评估、行业资质认证代理、软件著作权代理等专业产业服务。打造园区金融服务供需对接平台，统筹利用黄山安元现代服务业投资基金、黄山市战新产业招商引导基金等现有金融服务产品，吸引更多金融机构入驻，促进企业与金融资本共生共荣。不断优化软件园发展环境，切实解决入园企业发展过程中面临的用地、人才、资金、税收等生产经营难题。定期面向园区内软件企业开展重大产业政策、税收优惠政策等咨询服务，扩大企业实际受惠面。</w:t>
      </w:r>
    </w:p>
    <w:p w14:paraId="36AA1A69">
      <w:pPr>
        <w:pStyle w:val="6"/>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47" w:name="_Toc7160"/>
      <w:r>
        <w:rPr>
          <w:rFonts w:hint="default" w:ascii="Times New Roman" w:hAnsi="Times New Roman" w:cs="Times New Roman"/>
          <w:color w:val="000000" w:themeColor="text1"/>
          <w14:textFill>
            <w14:solidFill>
              <w14:schemeClr w14:val="tx1"/>
            </w14:solidFill>
          </w14:textFill>
        </w:rPr>
        <w:t>3.强化园区运营管理</w:t>
      </w:r>
      <w:bookmarkEnd w:id="47"/>
    </w:p>
    <w:p w14:paraId="42F668CC">
      <w:pPr>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鼓励园区实行“市场化运作、企业化经营”机制，支持园区管委会剥离市场运营职能，引入专业化软件园运营商，以“合作开发”“整体外包”“特许经营”等形式开展政企合作，通过建立收益回报和风险共担机制，打造政府主导与市场运行相结合、服务体制突破创新、运营机制规范高效的新局面。将“双招双引”作为园区运营“一号工程”，组建专业化招商团队，积极探索招商、引才新模式，以招商、引才大突破带动园区大发展。健全完善“平台投、园区建、企业用、财政补”的园区投资建设管理运营新机制，推动财政资金与社会资本有效衔接，实现园区投融资工作现金流和有效资产闭环管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9"/>
      </w:tblGrid>
      <w:tr w14:paraId="09CA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9" w:type="dxa"/>
          </w:tcPr>
          <w:p w14:paraId="0B23895E">
            <w:pPr>
              <w:keepNext w:val="0"/>
              <w:keepLines w:val="0"/>
              <w:pageBreakBefore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8"/>
                <w14:textFill>
                  <w14:solidFill>
                    <w14:schemeClr w14:val="tx1"/>
                  </w14:solidFill>
                </w14:textFill>
              </w:rPr>
              <w:t>专栏1 软件园运营服务升级工程</w:t>
            </w:r>
          </w:p>
        </w:tc>
      </w:tr>
      <w:tr w14:paraId="3E24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9" w:type="dxa"/>
          </w:tcPr>
          <w:p w14:paraId="042ED52F">
            <w:pPr>
              <w:keepNext w:val="0"/>
              <w:keepLines w:val="0"/>
              <w:pageBreakBefore w:val="0"/>
              <w:widowControl/>
              <w:kinsoku/>
              <w:wordWrap/>
              <w:overflowPunct/>
              <w:topLinePunct w:val="0"/>
              <w:autoSpaceDE/>
              <w:autoSpaceDN/>
              <w:bidi w:val="0"/>
              <w:spacing w:line="500" w:lineRule="exact"/>
              <w:ind w:firstLine="562"/>
              <w:textAlignment w:val="auto"/>
              <w:rPr>
                <w:rFonts w:hint="default" w:ascii="Times New Roman" w:hAnsi="Times New Roman" w:cs="Times New Roman"/>
                <w:b/>
                <w:bCs/>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8"/>
                <w14:textFill>
                  <w14:solidFill>
                    <w14:schemeClr w14:val="tx1"/>
                  </w14:solidFill>
                </w14:textFill>
              </w:rPr>
              <w:t>加快企业向园区集聚。</w:t>
            </w:r>
            <w:r>
              <w:rPr>
                <w:rFonts w:hint="default" w:ascii="Times New Roman" w:hAnsi="Times New Roman" w:cs="Times New Roman"/>
                <w:color w:val="000000" w:themeColor="text1"/>
                <w:kern w:val="0"/>
                <w:sz w:val="28"/>
                <w:szCs w:val="28"/>
                <w14:textFill>
                  <w14:solidFill>
                    <w14:schemeClr w14:val="tx1"/>
                  </w14:solidFill>
                </w14:textFill>
              </w:rPr>
              <w:t>围绕企业办公迫切需求，加快提升园区办公环境，设立公共会议室、独立会议室、独立办公室、多功能办公室、休闲茶水间等办公设施，吸引区外企业向园区集聚。</w:t>
            </w:r>
          </w:p>
          <w:p w14:paraId="5ECDC514">
            <w:pPr>
              <w:keepNext w:val="0"/>
              <w:keepLines w:val="0"/>
              <w:pageBreakBefore w:val="0"/>
              <w:widowControl/>
              <w:kinsoku/>
              <w:wordWrap/>
              <w:overflowPunct/>
              <w:topLinePunct w:val="0"/>
              <w:autoSpaceDE/>
              <w:autoSpaceDN/>
              <w:bidi w:val="0"/>
              <w:spacing w:line="500" w:lineRule="exact"/>
              <w:ind w:firstLine="562"/>
              <w:textAlignment w:val="auto"/>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8"/>
                <w14:textFill>
                  <w14:solidFill>
                    <w14:schemeClr w14:val="tx1"/>
                  </w14:solidFill>
                </w14:textFill>
              </w:rPr>
              <w:t>加大政策支持及服务</w:t>
            </w:r>
            <w:r>
              <w:rPr>
                <w:rFonts w:hint="default" w:ascii="Times New Roman" w:hAnsi="Times New Roman" w:cs="Times New Roman"/>
                <w:color w:val="000000" w:themeColor="text1"/>
                <w:kern w:val="0"/>
                <w:sz w:val="28"/>
                <w:szCs w:val="28"/>
                <w14:textFill>
                  <w14:solidFill>
                    <w14:schemeClr w14:val="tx1"/>
                  </w14:solidFill>
                </w14:textFill>
              </w:rPr>
              <w:t>。梳理“免申即享”政策清单，进一步明确政策依据、享受主体、兑现方式等内容。谋划搭建园区智慧政策推送平台，整合国家、省、市相关政策条款，按照企业规模、业务类型、资质等信息精准推送适配度高的产业政策资讯，加快推动政策服务由“企业找政策”向“政府送政策”升级。</w:t>
            </w:r>
          </w:p>
          <w:p w14:paraId="58F237F3">
            <w:pPr>
              <w:keepNext w:val="0"/>
              <w:keepLines w:val="0"/>
              <w:pageBreakBefore w:val="0"/>
              <w:widowControl/>
              <w:kinsoku/>
              <w:wordWrap/>
              <w:overflowPunct/>
              <w:topLinePunct w:val="0"/>
              <w:autoSpaceDE/>
              <w:autoSpaceDN/>
              <w:bidi w:val="0"/>
              <w:spacing w:line="500" w:lineRule="exact"/>
              <w:ind w:firstLine="562"/>
              <w:textAlignment w:val="auto"/>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8"/>
                <w14:textFill>
                  <w14:solidFill>
                    <w14:schemeClr w14:val="tx1"/>
                  </w14:solidFill>
                </w14:textFill>
              </w:rPr>
              <w:t>推动园区体制机制改革。</w:t>
            </w:r>
            <w:r>
              <w:rPr>
                <w:rFonts w:hint="default" w:ascii="Times New Roman" w:hAnsi="Times New Roman" w:cs="Times New Roman"/>
                <w:color w:val="000000" w:themeColor="text1"/>
                <w:kern w:val="0"/>
                <w:sz w:val="28"/>
                <w:szCs w:val="28"/>
                <w14:textFill>
                  <w14:solidFill>
                    <w14:schemeClr w14:val="tx1"/>
                  </w14:solidFill>
                </w14:textFill>
              </w:rPr>
              <w:t>优化软件园部门机构设置，成立招商合作部、企业服务部、资产运营部、科技创新部等部门，高效开展软件产业招商引资、软件企业精准服务、软件技术创新等工作。探索搭建联动一体化平台，建立软件园经济治理大数据平台，争取跨部门、跨区域信息资源交换共享，形成上下贯通的经济治理应用体系，通过平台掌握全市软件产业经济总量、企业数量、营收税收、企业需求、软件人才、产业分布等情况。创新企业培育机制，建立优质企业发现机制，选取研发加计扣除、知识产权申请和授权、获得各类资质荣誉的企业，探索设置创新投入、创新产出、成长性和辅助指标等评价维度，分等级分标准建立企业培育库；建立企业精准服务机制，探索梳理软件产业链关键核心技术、知识产权、重点企业、人才团队、项目成果、金融资本等要素信息，组建软件产业链图谱专题数据库，为企业一键链接技术、合作、资金等资源，同时依托产业链数据库，精准实施软件产业强链补链延链，招引优质软件产业项目。</w:t>
            </w:r>
          </w:p>
        </w:tc>
      </w:tr>
    </w:tbl>
    <w:p w14:paraId="50F69DA5">
      <w:pPr>
        <w:pStyle w:val="5"/>
        <w:keepNext w:val="0"/>
        <w:keepLines w:val="0"/>
        <w:pageBreakBefore w:val="0"/>
        <w:widowControl w:val="0"/>
        <w:kinsoku/>
        <w:wordWrap/>
        <w:overflowPunct/>
        <w:topLinePunct w:val="0"/>
        <w:autoSpaceDE/>
        <w:autoSpaceDN/>
        <w:bidi w:val="0"/>
        <w:ind w:firstLine="643"/>
        <w:textAlignment w:val="auto"/>
        <w:rPr>
          <w:rFonts w:hint="default" w:ascii="Times New Roman" w:hAnsi="Times New Roman" w:cs="Times New Roman"/>
          <w:color w:val="000000" w:themeColor="text1"/>
          <w14:textFill>
            <w14:solidFill>
              <w14:schemeClr w14:val="tx1"/>
            </w14:solidFill>
          </w14:textFill>
        </w:rPr>
      </w:pPr>
      <w:bookmarkStart w:id="48" w:name="_Toc18592"/>
      <w:bookmarkStart w:id="49" w:name="_Toc31602"/>
      <w:r>
        <w:rPr>
          <w:rFonts w:hint="default" w:ascii="Times New Roman" w:hAnsi="Times New Roman" w:cs="Times New Roman"/>
          <w:color w:val="000000" w:themeColor="text1"/>
          <w14:textFill>
            <w14:solidFill>
              <w14:schemeClr w14:val="tx1"/>
            </w14:solidFill>
          </w14:textFill>
        </w:rPr>
        <w:t>（二）聚焦软件企业引培，壮大产业发展规模</w:t>
      </w:r>
      <w:bookmarkEnd w:id="48"/>
      <w:bookmarkEnd w:id="49"/>
    </w:p>
    <w:p w14:paraId="4FAAF3C7">
      <w:pPr>
        <w:pageBreakBefore w:val="0"/>
        <w:widowControl w:val="0"/>
        <w:kinsoku/>
        <w:wordWrap/>
        <w:overflowPunct/>
        <w:topLinePunct w:val="0"/>
        <w:autoSpaceDE/>
        <w:autoSpaceDN/>
        <w:bidi w:val="0"/>
        <w:ind w:firstLine="640"/>
        <w:textAlignment w:val="auto"/>
        <w:rPr>
          <w:rFonts w:hint="default" w:ascii="Times New Roman" w:hAnsi="Times New Roman" w:cs="Times New Roman"/>
          <w:color w:val="000000" w:themeColor="text1"/>
          <w14:textFill>
            <w14:solidFill>
              <w14:schemeClr w14:val="tx1"/>
            </w14:solidFill>
          </w14:textFill>
        </w:rPr>
      </w:pPr>
      <w:bookmarkStart w:id="50" w:name="_Toc27281"/>
      <w:r>
        <w:rPr>
          <w:rFonts w:hint="default" w:ascii="Times New Roman" w:hAnsi="Times New Roman" w:cs="Times New Roman"/>
          <w:color w:val="000000" w:themeColor="text1"/>
          <w14:textFill>
            <w14:solidFill>
              <w14:schemeClr w14:val="tx1"/>
            </w14:solidFill>
          </w14:textFill>
        </w:rPr>
        <w:t>深入摸排全市现有软件企业，梯次培育壮大存量企业，大力开展招商引资，力争引进一批优质软件企业，形成大中小微企业协同发展格局。</w:t>
      </w:r>
    </w:p>
    <w:p w14:paraId="598CB4B3">
      <w:pPr>
        <w:pStyle w:val="6"/>
        <w:keepNext w:val="0"/>
        <w:keepLines w:val="0"/>
        <w:pageBreakBefore w:val="0"/>
        <w:widowControl w:val="0"/>
        <w:kinsoku/>
        <w:wordWrap/>
        <w:overflowPunct/>
        <w:topLinePunct w:val="0"/>
        <w:autoSpaceDE/>
        <w:autoSpaceDN/>
        <w:bidi w:val="0"/>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1.培育壮大存量企业</w:t>
      </w:r>
      <w:bookmarkEnd w:id="50"/>
    </w:p>
    <w:p w14:paraId="2EFFD001">
      <w:pPr>
        <w:pageBreakBefore w:val="0"/>
        <w:widowControl w:val="0"/>
        <w:kinsoku/>
        <w:wordWrap/>
        <w:overflowPunct/>
        <w:topLinePunct w:val="0"/>
        <w:autoSpaceDE/>
        <w:autoSpaceDN/>
        <w:bidi w:val="0"/>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聚焦行业应用软件、信息系统集成等软件领域，扶持一批有潜力、有自主知识产权的企业加速发展，鼓励企业聚焦主业，增强核心竞争力，成为软件细分领域的核心骨干企业。充分发挥新型智慧城市建设、产业数字化改造等领域项目带动作用，支持本土企业以市场化方式对接融入华为、阿里、科大讯飞等龙头软件和信息服务企业产业链生态，提升企业发展能级。引导同领域企业“抱团”发展，通过联合技术攻关、共同投资等方式，打造龙头牵引、优势互补、协同发展的企业矩阵。加大软件领域“专精特新”企业培育力度，支持企业加大研发投入，提升产品服务质量，形成一批技术先进、市场认可度高的知名软件产品，打造专业型科技型企业品牌新形象。</w:t>
      </w:r>
    </w:p>
    <w:p w14:paraId="41B3BFD1">
      <w:pPr>
        <w:pStyle w:val="6"/>
        <w:pageBreakBefore w:val="0"/>
        <w:widowControl w:val="0"/>
        <w:kinsoku/>
        <w:wordWrap/>
        <w:overflowPunct/>
        <w:topLinePunct w:val="0"/>
        <w:autoSpaceDE/>
        <w:autoSpaceDN/>
        <w:bidi w:val="0"/>
        <w:ind w:firstLine="643"/>
        <w:textAlignment w:val="auto"/>
        <w:rPr>
          <w:rFonts w:hint="default" w:ascii="Times New Roman" w:hAnsi="Times New Roman" w:cs="Times New Roman"/>
          <w:color w:val="000000" w:themeColor="text1"/>
          <w14:textFill>
            <w14:solidFill>
              <w14:schemeClr w14:val="tx1"/>
            </w14:solidFill>
          </w14:textFill>
        </w:rPr>
      </w:pPr>
      <w:bookmarkStart w:id="51" w:name="_Toc2866"/>
      <w:r>
        <w:rPr>
          <w:rFonts w:hint="default" w:ascii="Times New Roman" w:hAnsi="Times New Roman" w:cs="Times New Roman"/>
          <w:color w:val="000000" w:themeColor="text1"/>
          <w14:textFill>
            <w14:solidFill>
              <w14:schemeClr w14:val="tx1"/>
            </w14:solidFill>
          </w14:textFill>
        </w:rPr>
        <w:t>2.全力招引优质企业</w:t>
      </w:r>
      <w:bookmarkEnd w:id="51"/>
    </w:p>
    <w:p w14:paraId="264BCEA7">
      <w:pPr>
        <w:pageBreakBefore w:val="0"/>
        <w:widowControl w:val="0"/>
        <w:kinsoku/>
        <w:wordWrap/>
        <w:overflowPunct/>
        <w:topLinePunct w:val="0"/>
        <w:autoSpaceDE/>
        <w:autoSpaceDN/>
        <w:bidi w:val="0"/>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围绕智慧旅游、数字创意、数字乡村、数字政府等行业应用软件领域，以国内总部企业、高成长平台型企业、知名创业团队、科创型中小企业为主要目标，大力开展招商引资工作。聚焦智慧旅游领域，加强整合全市旅游资源信息，以旅游数据资源吸引智慧旅游服务类、管理类、营销类软件企业落户；聚焦数字创意领域，高水平举办“迎客松”杯创意创新创业大赛等赛事，通过数字创意赛事链接优质创新创业资源，促进优质项目落地转化；聚焦数字乡村领域，依托与蚂蚁集团、阿里巴巴战略合作，探索共建专业孵化器、产业园等项目，精准招引孵化一批数字农业、数字乡村治理等领域企业；聚焦数字政府领域，围绕政务数字化应用、政务数据服务、政务办公等领域，布局一批优质项目，吸引数字政府领域软件与信息服务企业入驻园区。</w:t>
      </w:r>
      <w:r>
        <w:rPr>
          <w:rFonts w:hint="default" w:ascii="Times New Roman" w:hAnsi="Times New Roman" w:cs="Times New Roman"/>
          <w:color w:val="000000" w:themeColor="text1"/>
          <w:lang w:val="en-US" w:eastAsia="zh-CN"/>
          <w14:textFill>
            <w14:solidFill>
              <w14:schemeClr w14:val="tx1"/>
            </w14:solidFill>
          </w14:textFill>
        </w:rPr>
        <w:t>大力开放智慧旅游、数字创意、数字乡村、数字政府等领域应用场景，定期发布应用场景清单，以场景开放吸引企业落地布局。</w:t>
      </w:r>
      <w:r>
        <w:rPr>
          <w:rFonts w:hint="default" w:ascii="Times New Roman" w:hAnsi="Times New Roman" w:cs="Times New Roman"/>
          <w:color w:val="000000" w:themeColor="text1"/>
          <w14:textFill>
            <w14:solidFill>
              <w14:schemeClr w14:val="tx1"/>
            </w14:solidFill>
          </w14:textFill>
        </w:rPr>
        <w:t>深入对接杭州、上海、南京等地软件产业资源，通过税收减免、一次性落户补贴、场地租金免除等方式，加快大数据及云计算、区块链、工业互联网等新兴领域优质企业与重大项目落地。依托黄山市招商引资管理平台，定期发布本市招商政策、政府软件和信息服务项目和行业发展需求等，引导意向企业来黄山设立区域性总部、服务中心、业务板块分支机构等。充分发挥黄山市数字经济产业促进会、黄山市大数据协会等商协会作用，引导商协会与软件产业咨询机构合作，开展精准招商、以商招商活动。依托黄山学院及各类交流合作平台开展招商对接会，争取校友企业、本市籍企业等知名软件企业落户发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9"/>
      </w:tblGrid>
      <w:tr w14:paraId="00736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9" w:type="dxa"/>
          </w:tcPr>
          <w:p w14:paraId="3B03F9E6">
            <w:pPr>
              <w:keepNext w:val="0"/>
              <w:keepLines w:val="0"/>
              <w:pageBreakBefore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8"/>
                <w14:textFill>
                  <w14:solidFill>
                    <w14:schemeClr w14:val="tx1"/>
                  </w14:solidFill>
                </w14:textFill>
              </w:rPr>
              <w:t>专栏2 企业梯次培育工程</w:t>
            </w:r>
          </w:p>
        </w:tc>
      </w:tr>
      <w:tr w14:paraId="3AE3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9" w:type="dxa"/>
          </w:tcPr>
          <w:p w14:paraId="70DEBD96">
            <w:pPr>
              <w:keepNext w:val="0"/>
              <w:keepLines w:val="0"/>
              <w:pageBreakBefore w:val="0"/>
              <w:widowControl/>
              <w:kinsoku/>
              <w:wordWrap/>
              <w:overflowPunct/>
              <w:topLinePunct w:val="0"/>
              <w:autoSpaceDE/>
              <w:autoSpaceDN/>
              <w:bidi w:val="0"/>
              <w:spacing w:line="500" w:lineRule="exact"/>
              <w:ind w:firstLine="562"/>
              <w:textAlignment w:val="auto"/>
              <w:rPr>
                <w:rFonts w:hint="default" w:ascii="Times New Roman" w:hAnsi="Times New Roman" w:cs="Times New Roman"/>
                <w:b/>
                <w:bCs/>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8"/>
                <w14:textFill>
                  <w14:solidFill>
                    <w14:schemeClr w14:val="tx1"/>
                  </w14:solidFill>
                </w14:textFill>
              </w:rPr>
              <w:t>大力培育骨干企业。</w:t>
            </w:r>
            <w:r>
              <w:rPr>
                <w:rFonts w:hint="default" w:ascii="Times New Roman" w:hAnsi="Times New Roman" w:cs="Times New Roman"/>
                <w:color w:val="000000" w:themeColor="text1"/>
                <w:kern w:val="0"/>
                <w:sz w:val="28"/>
                <w:szCs w:val="28"/>
                <w14:textFill>
                  <w14:solidFill>
                    <w14:schemeClr w14:val="tx1"/>
                  </w14:solidFill>
                </w14:textFill>
              </w:rPr>
              <w:t>加快梳理全市优势企业清单，建立规上企业培育库，对入库企业加大潜力挖掘、资源链接及扶持力度，支持骨干企业承担省级或市级政务信息化项目。</w:t>
            </w:r>
          </w:p>
          <w:p w14:paraId="65EFA8FD">
            <w:pPr>
              <w:keepNext w:val="0"/>
              <w:keepLines w:val="0"/>
              <w:pageBreakBefore w:val="0"/>
              <w:widowControl/>
              <w:kinsoku/>
              <w:wordWrap/>
              <w:overflowPunct/>
              <w:topLinePunct w:val="0"/>
              <w:autoSpaceDE/>
              <w:autoSpaceDN/>
              <w:bidi w:val="0"/>
              <w:spacing w:line="500" w:lineRule="exact"/>
              <w:ind w:firstLine="562"/>
              <w:textAlignment w:val="auto"/>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8"/>
                <w14:textFill>
                  <w14:solidFill>
                    <w14:schemeClr w14:val="tx1"/>
                  </w14:solidFill>
                </w14:textFill>
              </w:rPr>
              <w:t>壮大“专精特新”中小企业规模。</w:t>
            </w:r>
            <w:r>
              <w:rPr>
                <w:rFonts w:hint="default" w:ascii="Times New Roman" w:hAnsi="Times New Roman" w:cs="Times New Roman"/>
                <w:color w:val="000000" w:themeColor="text1"/>
                <w:kern w:val="0"/>
                <w:sz w:val="28"/>
                <w:szCs w:val="28"/>
                <w14:textFill>
                  <w14:solidFill>
                    <w14:schemeClr w14:val="tx1"/>
                  </w14:solidFill>
                </w14:textFill>
              </w:rPr>
              <w:t>推动罗米科技、皖汲云科、鼎天科技、敬义昌等企业向“专精特新”发展，建立“专精特新”企业培育库，在企业融资、创新成果转化与应用、知识产权申报等领域为入库企业提供“一对一”跟踪指导服务，争取培育一批具有核心竞争力的软件企业。</w:t>
            </w:r>
          </w:p>
          <w:p w14:paraId="008F05BA">
            <w:pPr>
              <w:keepNext w:val="0"/>
              <w:keepLines w:val="0"/>
              <w:pageBreakBefore w:val="0"/>
              <w:widowControl/>
              <w:kinsoku/>
              <w:wordWrap/>
              <w:overflowPunct/>
              <w:topLinePunct w:val="0"/>
              <w:autoSpaceDE/>
              <w:autoSpaceDN/>
              <w:bidi w:val="0"/>
              <w:spacing w:line="500" w:lineRule="exact"/>
              <w:ind w:firstLine="562"/>
              <w:textAlignment w:val="auto"/>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8"/>
                <w14:textFill>
                  <w14:solidFill>
                    <w14:schemeClr w14:val="tx1"/>
                  </w14:solidFill>
                </w14:textFill>
              </w:rPr>
              <w:t>扶持发展初创型企业。</w:t>
            </w:r>
            <w:r>
              <w:rPr>
                <w:rFonts w:hint="default" w:ascii="Times New Roman" w:hAnsi="Times New Roman" w:cs="Times New Roman"/>
                <w:color w:val="000000" w:themeColor="text1"/>
                <w:kern w:val="0"/>
                <w:sz w:val="28"/>
                <w:szCs w:val="28"/>
                <w14:textFill>
                  <w14:solidFill>
                    <w14:schemeClr w14:val="tx1"/>
                  </w14:solidFill>
                </w14:textFill>
              </w:rPr>
              <w:t>提升园区孵化器、众创空间孵化能力，引导黄山学院等高校成果、重点工业企业信息技术部门落户园区孵化培育，做好方舟圣华文化科技等迎客松杯创意创新创业大赛优质项目的落地服务，加大对初创软件企业政策支持力度，推进初创型企业稳步壮大。</w:t>
            </w:r>
          </w:p>
        </w:tc>
      </w:tr>
    </w:tbl>
    <w:p w14:paraId="4BCC78E3">
      <w:pPr>
        <w:pStyle w:val="5"/>
        <w:keepNext w:val="0"/>
        <w:keepLines w:val="0"/>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52" w:name="_Toc23398"/>
      <w:bookmarkStart w:id="53" w:name="_Toc17455"/>
      <w:r>
        <w:rPr>
          <w:rFonts w:hint="default" w:ascii="Times New Roman" w:hAnsi="Times New Roman" w:cs="Times New Roman"/>
          <w:color w:val="000000" w:themeColor="text1"/>
          <w14:textFill>
            <w14:solidFill>
              <w14:schemeClr w14:val="tx1"/>
            </w14:solidFill>
          </w14:textFill>
        </w:rPr>
        <w:t>（三）聚焦软件人才引育，激发产业创新活力</w:t>
      </w:r>
      <w:bookmarkEnd w:id="52"/>
      <w:bookmarkEnd w:id="53"/>
    </w:p>
    <w:p w14:paraId="722DEBDF">
      <w:pPr>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bookmarkStart w:id="54" w:name="_Toc17458"/>
      <w:r>
        <w:rPr>
          <w:rFonts w:hint="default" w:ascii="Times New Roman" w:hAnsi="Times New Roman" w:cs="Times New Roman"/>
          <w:color w:val="000000" w:themeColor="text1"/>
          <w14:textFill>
            <w14:solidFill>
              <w14:schemeClr w14:val="tx1"/>
            </w14:solidFill>
          </w14:textFill>
        </w:rPr>
        <w:t>围绕软件产业研发人才、创新创业人才等，持续推进招才引智，强化软件人才培养，争取引培一批高端、专业软件人才，助力软件产业创新性发展。</w:t>
      </w:r>
    </w:p>
    <w:p w14:paraId="3F305AC3">
      <w:pPr>
        <w:pStyle w:val="6"/>
        <w:keepNext w:val="0"/>
        <w:keepLines w:val="0"/>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1.加强人才引进力度</w:t>
      </w:r>
      <w:bookmarkEnd w:id="54"/>
    </w:p>
    <w:p w14:paraId="4224B78D">
      <w:pPr>
        <w:pStyle w:val="8"/>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eastAsia="仿宋_GB2312" w:cs="Times New Roman"/>
          <w:color w:val="000000" w:themeColor="text1"/>
          <w:sz w:val="32"/>
          <w:szCs w:val="24"/>
          <w14:textFill>
            <w14:solidFill>
              <w14:schemeClr w14:val="tx1"/>
            </w14:solidFill>
          </w14:textFill>
        </w:rPr>
      </w:pPr>
      <w:r>
        <w:rPr>
          <w:rFonts w:hint="default" w:ascii="Times New Roman" w:hAnsi="Times New Roman" w:eastAsia="仿宋_GB2312" w:cs="Times New Roman"/>
          <w:color w:val="000000" w:themeColor="text1"/>
          <w:sz w:val="32"/>
          <w:szCs w:val="24"/>
          <w14:textFill>
            <w14:solidFill>
              <w14:schemeClr w14:val="tx1"/>
            </w14:solidFill>
          </w14:textFill>
        </w:rPr>
        <w:t>贯彻落实黄山市“迎客松英才计划”，在软件领域重点引进一批省级以上人才计划获得者、高层次人才团队、高端人才、大中专基础人才。充分发挥黄山市区位优势，积极对接杭州、合肥、上海、南京等周边城市软件人才，以项目引才、异地用才等多种柔性引才模式，引进软件和信息技术服务领域企业骨干、高校导师、科研院所专家、教授多向任职交流。积极在省外先发地区设立招才引智工作站，聘请招才大使、校园引才特使等，推进“以才引才”。加强与高端人才服务机构的战略合作，通过政府购买服务、奖励补贴等形式，大力引进高层次软件人才。积极组织开展高校软件人才招聘、黄山籍软件人才招聘等专场招聘活动，做好黄山政策、环境、服务等多方面条件宣传，广泛吸引多层次人才落户黄山。</w:t>
      </w:r>
    </w:p>
    <w:p w14:paraId="016F64E1">
      <w:pPr>
        <w:pStyle w:val="6"/>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55" w:name="_Toc28296"/>
      <w:r>
        <w:rPr>
          <w:rFonts w:hint="default" w:ascii="Times New Roman" w:hAnsi="Times New Roman" w:cs="Times New Roman"/>
          <w:color w:val="000000" w:themeColor="text1"/>
          <w14:textFill>
            <w14:solidFill>
              <w14:schemeClr w14:val="tx1"/>
            </w14:solidFill>
          </w14:textFill>
        </w:rPr>
        <w:t>2.完善人才培养体系</w:t>
      </w:r>
      <w:bookmarkEnd w:id="55"/>
    </w:p>
    <w:p w14:paraId="67AD5B7F">
      <w:pPr>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积极探索人才培养“多元模式”，鼓励黄山学院等高校与本地企业采取“双师模式”培养关键软件领域人才，联合制定软件课程教学模式、项目实践方案等，定向培养软件前端开发工程师、系统运维人员、项目设计人员等紧缺岗位人才。鼓励黄山软件园及屯溪区利用存量楼宇建设软件人才实习实训基地，大力培养复合型、实用型软件和信息服务人才。鼓励软件企业与黄山学院等省内外高校深化合作，共建创新研究院、“软件测评实验室”“软件创新创业孵化器”“人才实训实习基地”等公共平台，加快软件创新成果转化及创新型人才培养。支持企业通过内部讲师培训、外部专家邀请授课等多种形式开展职工技能培训，引导企业将培训课程在园区内进行共享，不断提升在职人员职业素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9"/>
      </w:tblGrid>
      <w:tr w14:paraId="11C0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9" w:type="dxa"/>
          </w:tcPr>
          <w:p w14:paraId="748CAEA9">
            <w:pPr>
              <w:keepNext w:val="0"/>
              <w:keepLines w:val="0"/>
              <w:pageBreakBefore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8"/>
                <w14:textFill>
                  <w14:solidFill>
                    <w14:schemeClr w14:val="tx1"/>
                  </w14:solidFill>
                </w14:textFill>
              </w:rPr>
              <w:t>专栏3软件人才引育工程</w:t>
            </w:r>
          </w:p>
        </w:tc>
      </w:tr>
      <w:tr w14:paraId="15A0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9" w:type="dxa"/>
          </w:tcPr>
          <w:p w14:paraId="4691DC75">
            <w:pPr>
              <w:keepNext w:val="0"/>
              <w:keepLines w:val="0"/>
              <w:pageBreakBefore w:val="0"/>
              <w:widowControl/>
              <w:kinsoku/>
              <w:wordWrap/>
              <w:overflowPunct/>
              <w:topLinePunct w:val="0"/>
              <w:autoSpaceDE/>
              <w:autoSpaceDN/>
              <w:bidi w:val="0"/>
              <w:spacing w:line="500" w:lineRule="exact"/>
              <w:ind w:firstLine="562"/>
              <w:textAlignment w:val="auto"/>
              <w:rPr>
                <w:rFonts w:hint="default" w:ascii="Times New Roman" w:hAnsi="Times New Roman" w:cs="Times New Roman"/>
                <w:color w:val="000000" w:themeColor="text1"/>
                <w:kern w:val="0"/>
                <w:sz w:val="28"/>
                <w:szCs w:val="22"/>
                <w14:textFill>
                  <w14:solidFill>
                    <w14:schemeClr w14:val="tx1"/>
                  </w14:solidFill>
                </w14:textFill>
              </w:rPr>
            </w:pPr>
            <w:r>
              <w:rPr>
                <w:rFonts w:hint="default" w:ascii="Times New Roman" w:hAnsi="Times New Roman" w:cs="Times New Roman"/>
                <w:b/>
                <w:bCs/>
                <w:color w:val="000000" w:themeColor="text1"/>
                <w:kern w:val="0"/>
                <w:sz w:val="28"/>
                <w:szCs w:val="22"/>
                <w14:textFill>
                  <w14:solidFill>
                    <w14:schemeClr w14:val="tx1"/>
                  </w14:solidFill>
                </w14:textFill>
              </w:rPr>
              <w:t>大力引进软件产业中高端人才</w:t>
            </w:r>
            <w:r>
              <w:rPr>
                <w:rFonts w:hint="default" w:ascii="Times New Roman" w:hAnsi="Times New Roman" w:cs="Times New Roman"/>
                <w:color w:val="000000" w:themeColor="text1"/>
                <w:kern w:val="0"/>
                <w:sz w:val="28"/>
                <w:szCs w:val="22"/>
                <w14:textFill>
                  <w14:solidFill>
                    <w14:schemeClr w14:val="tx1"/>
                  </w14:solidFill>
                </w14:textFill>
              </w:rPr>
              <w:t>。积极参加中国软件大会、智博会等会展，精准对接软件行业领域高层次专家、青年人才等人才资源。依托猎头、商协会积极对接大型软件企业高级管理人才、资深专业技术人才等行业优秀从业者，争取来黄山就业创业或兼职指导。</w:t>
            </w:r>
          </w:p>
          <w:p w14:paraId="7B33C968">
            <w:pPr>
              <w:keepNext w:val="0"/>
              <w:keepLines w:val="0"/>
              <w:pageBreakBefore w:val="0"/>
              <w:widowControl/>
              <w:kinsoku/>
              <w:wordWrap/>
              <w:overflowPunct/>
              <w:topLinePunct w:val="0"/>
              <w:autoSpaceDE/>
              <w:autoSpaceDN/>
              <w:bidi w:val="0"/>
              <w:spacing w:line="500" w:lineRule="exact"/>
              <w:ind w:firstLine="562"/>
              <w:textAlignment w:val="auto"/>
              <w:rPr>
                <w:rFonts w:hint="default" w:ascii="Times New Roman" w:hAnsi="Times New Roman" w:cs="Times New Roman"/>
                <w:color w:val="000000" w:themeColor="text1"/>
                <w:kern w:val="0"/>
                <w:sz w:val="28"/>
                <w:szCs w:val="22"/>
                <w14:textFill>
                  <w14:solidFill>
                    <w14:schemeClr w14:val="tx1"/>
                  </w14:solidFill>
                </w14:textFill>
              </w:rPr>
            </w:pPr>
            <w:r>
              <w:rPr>
                <w:rFonts w:hint="default" w:ascii="Times New Roman" w:hAnsi="Times New Roman" w:cs="Times New Roman"/>
                <w:b/>
                <w:bCs/>
                <w:color w:val="000000" w:themeColor="text1"/>
                <w:sz w:val="28"/>
                <w:szCs w:val="22"/>
                <w14:textFill>
                  <w14:solidFill>
                    <w14:schemeClr w14:val="tx1"/>
                  </w14:solidFill>
                </w14:textFill>
              </w:rPr>
              <w:t>吸引优秀高校毕业生留黄发展</w:t>
            </w:r>
            <w:r>
              <w:rPr>
                <w:rFonts w:hint="default" w:ascii="Times New Roman" w:hAnsi="Times New Roman" w:cs="Times New Roman"/>
                <w:color w:val="000000" w:themeColor="text1"/>
                <w:sz w:val="28"/>
                <w:szCs w:val="22"/>
                <w14:textFill>
                  <w14:solidFill>
                    <w14:schemeClr w14:val="tx1"/>
                  </w14:solidFill>
                </w14:textFill>
              </w:rPr>
              <w:t>。</w:t>
            </w:r>
            <w:r>
              <w:rPr>
                <w:rFonts w:hint="default" w:ascii="Times New Roman" w:hAnsi="Times New Roman" w:cs="Times New Roman"/>
                <w:color w:val="000000" w:themeColor="text1"/>
                <w:kern w:val="0"/>
                <w:sz w:val="28"/>
                <w:szCs w:val="22"/>
                <w14:textFill>
                  <w14:solidFill>
                    <w14:schemeClr w14:val="tx1"/>
                  </w14:solidFill>
                </w14:textFill>
              </w:rPr>
              <w:t>积极组织本地软件企业面向杭州、上海、南京、北京等高校资源丰富地区及黄山学院等本地高校，联合开展校园招聘宣讲活动，吸引重点高校软件及信息技术服务相关专业毕业生来黄山创新创业。</w:t>
            </w:r>
          </w:p>
          <w:p w14:paraId="4F33AEA2">
            <w:pPr>
              <w:keepNext w:val="0"/>
              <w:keepLines w:val="0"/>
              <w:pageBreakBefore w:val="0"/>
              <w:widowControl/>
              <w:kinsoku/>
              <w:wordWrap/>
              <w:overflowPunct/>
              <w:topLinePunct w:val="0"/>
              <w:autoSpaceDE/>
              <w:autoSpaceDN/>
              <w:bidi w:val="0"/>
              <w:spacing w:line="500" w:lineRule="exact"/>
              <w:ind w:firstLine="562"/>
              <w:textAlignment w:val="auto"/>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8"/>
                <w14:textFill>
                  <w14:solidFill>
                    <w14:schemeClr w14:val="tx1"/>
                  </w14:solidFill>
                </w14:textFill>
              </w:rPr>
              <w:t>推动人才实习实训基地建设。</w:t>
            </w:r>
            <w:r>
              <w:rPr>
                <w:rFonts w:hint="default" w:ascii="Times New Roman" w:hAnsi="Times New Roman" w:cs="Times New Roman"/>
                <w:color w:val="000000" w:themeColor="text1"/>
                <w:kern w:val="0"/>
                <w:sz w:val="28"/>
                <w:szCs w:val="28"/>
                <w14:textFill>
                  <w14:solidFill>
                    <w14:schemeClr w14:val="tx1"/>
                  </w14:solidFill>
                </w14:textFill>
              </w:rPr>
              <w:t>加快推进徽扬物联、云海大数据等软件企业与黄山学院信息工程学院共建创新研究院、“人才实训实习基地”等建设运营。推动信创培训基地建设，培育信创技术人才。鼓励高校、企业、科研机构、职业学校、社会机构间加强合作交流，支持社会机构开展职业培训。</w:t>
            </w:r>
          </w:p>
        </w:tc>
      </w:tr>
    </w:tbl>
    <w:p w14:paraId="510F4527">
      <w:pPr>
        <w:pStyle w:val="5"/>
        <w:pageBreakBefore w:val="0"/>
        <w:widowControl w:val="0"/>
        <w:kinsoku/>
        <w:wordWrap/>
        <w:overflowPunct/>
        <w:topLinePunct w:val="0"/>
        <w:autoSpaceDE/>
        <w:autoSpaceDN/>
        <w:bidi w:val="0"/>
        <w:adjustRightInd/>
        <w:snapToGrid/>
        <w:ind w:firstLine="643"/>
        <w:textAlignment w:val="auto"/>
        <w:rPr>
          <w:rFonts w:hint="default" w:ascii="Times New Roman" w:hAnsi="Times New Roman" w:cs="Times New Roman"/>
          <w:color w:val="000000" w:themeColor="text1"/>
          <w14:textFill>
            <w14:solidFill>
              <w14:schemeClr w14:val="tx1"/>
            </w14:solidFill>
          </w14:textFill>
        </w:rPr>
      </w:pPr>
      <w:bookmarkStart w:id="56" w:name="_Toc11914"/>
      <w:bookmarkStart w:id="57" w:name="_Toc15357"/>
      <w:r>
        <w:rPr>
          <w:rFonts w:hint="default" w:ascii="Times New Roman" w:hAnsi="Times New Roman" w:cs="Times New Roman"/>
          <w:color w:val="000000" w:themeColor="text1"/>
          <w14:textFill>
            <w14:solidFill>
              <w14:schemeClr w14:val="tx1"/>
            </w14:solidFill>
          </w14:textFill>
        </w:rPr>
        <w:t>（四）聚焦全球开放合作，拓展产业发展空间</w:t>
      </w:r>
      <w:bookmarkEnd w:id="56"/>
      <w:bookmarkEnd w:id="57"/>
    </w:p>
    <w:p w14:paraId="71464882">
      <w:pPr>
        <w:pageBreakBefore w:val="0"/>
        <w:widowControl w:val="0"/>
        <w:kinsoku/>
        <w:wordWrap/>
        <w:overflowPunct/>
        <w:topLinePunct w:val="0"/>
        <w:autoSpaceDE/>
        <w:autoSpaceDN/>
        <w:bidi w:val="0"/>
        <w:adjustRightInd/>
        <w:snapToGrid/>
        <w:ind w:firstLine="640"/>
        <w:textAlignment w:val="auto"/>
        <w:rPr>
          <w:rFonts w:hint="default" w:ascii="Times New Roman" w:hAnsi="Times New Roman" w:cs="Times New Roman"/>
          <w:color w:val="000000" w:themeColor="text1"/>
          <w14:textFill>
            <w14:solidFill>
              <w14:schemeClr w14:val="tx1"/>
            </w14:solidFill>
          </w14:textFill>
        </w:rPr>
      </w:pPr>
      <w:bookmarkStart w:id="58" w:name="_Toc10730"/>
      <w:r>
        <w:rPr>
          <w:rFonts w:hint="default" w:ascii="Times New Roman" w:hAnsi="Times New Roman" w:cs="Times New Roman"/>
          <w:color w:val="000000" w:themeColor="text1"/>
          <w14:textFill>
            <w14:solidFill>
              <w14:schemeClr w14:val="tx1"/>
            </w14:solidFill>
          </w14:textFill>
        </w:rPr>
        <w:t>紧抓长三角一体化、黄山联动创新区建设等机遇，主动融入杭州、南京、合肥、上海等先发城市软件产业发展体系，积极拓展国际软件市场，着力提升园区对外开放水平。</w:t>
      </w:r>
    </w:p>
    <w:p w14:paraId="4A1F722B">
      <w:pPr>
        <w:pageBreakBefore w:val="0"/>
        <w:widowControl w:val="0"/>
        <w:kinsoku/>
        <w:wordWrap/>
        <w:overflowPunct/>
        <w:topLinePunct w:val="0"/>
        <w:autoSpaceDE/>
        <w:autoSpaceDN/>
        <w:bidi w:val="0"/>
        <w:adjustRightInd/>
        <w:snapToGrid/>
        <w:ind w:firstLine="643"/>
        <w:textAlignment w:val="auto"/>
        <w:outlineLvl w:val="2"/>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1.强化与先发地区产业合作</w:t>
      </w:r>
      <w:bookmarkEnd w:id="58"/>
    </w:p>
    <w:p w14:paraId="72EFD7DD">
      <w:pPr>
        <w:pageBreakBefore w:val="0"/>
        <w:widowControl w:val="0"/>
        <w:kinsoku/>
        <w:wordWrap/>
        <w:overflowPunct/>
        <w:topLinePunct w:val="0"/>
        <w:autoSpaceDE/>
        <w:autoSpaceDN/>
        <w:bidi w:val="0"/>
        <w:adjustRightInd/>
        <w:snapToGrid/>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加强与长三角、珠三角、京津冀等软件产业发达地区交流合作，主动对接优质产业资源，大力承接先发城市产业外溢。借鉴各地“软件名园”服务模式、招商路径，争取在黄山软件园复制推广。抢抓长三角一体化发展机遇，对接上海、杭州、合肥软件产业集群，布局关联软件和信息服务业态，推动项目、人才、政策、资金等关键要素协同，深度融入长三角软件产业合作体系。发挥杭黄绿色产业园共建园区平台优势，在数字安防、电子商务、云计算和大数据、数字内容等杭州优势领域重点导入产业项目、人才资源，带动园区软件产业发展。鼓励本地企业在产品研发、技术攻关、市场拓展等方面开展跨区域合作，学习先进管理经验，提升企业发展实力。</w:t>
      </w:r>
    </w:p>
    <w:p w14:paraId="05143361">
      <w:pPr>
        <w:pageBreakBefore w:val="0"/>
        <w:widowControl w:val="0"/>
        <w:kinsoku/>
        <w:wordWrap/>
        <w:overflowPunct/>
        <w:topLinePunct w:val="0"/>
        <w:autoSpaceDE/>
        <w:autoSpaceDN/>
        <w:bidi w:val="0"/>
        <w:adjustRightInd/>
        <w:snapToGrid/>
        <w:ind w:firstLine="643"/>
        <w:textAlignment w:val="auto"/>
        <w:outlineLvl w:val="2"/>
        <w:rPr>
          <w:rFonts w:hint="default" w:ascii="Times New Roman" w:hAnsi="Times New Roman" w:cs="Times New Roman"/>
          <w:b/>
          <w:bCs/>
          <w:color w:val="000000" w:themeColor="text1"/>
          <w14:textFill>
            <w14:solidFill>
              <w14:schemeClr w14:val="tx1"/>
            </w14:solidFill>
          </w14:textFill>
        </w:rPr>
      </w:pPr>
      <w:bookmarkStart w:id="59" w:name="_Toc23623"/>
      <w:r>
        <w:rPr>
          <w:rFonts w:hint="default" w:ascii="Times New Roman" w:hAnsi="Times New Roman" w:cs="Times New Roman"/>
          <w:b/>
          <w:bCs/>
          <w:color w:val="000000" w:themeColor="text1"/>
          <w14:textFill>
            <w14:solidFill>
              <w14:schemeClr w14:val="tx1"/>
            </w14:solidFill>
          </w14:textFill>
        </w:rPr>
        <w:t>2.提升国际化产业合作水平</w:t>
      </w:r>
      <w:bookmarkEnd w:id="59"/>
    </w:p>
    <w:p w14:paraId="46874A5E">
      <w:pPr>
        <w:pageBreakBefore w:val="0"/>
        <w:widowControl w:val="0"/>
        <w:kinsoku/>
        <w:wordWrap/>
        <w:overflowPunct/>
        <w:topLinePunct w:val="0"/>
        <w:autoSpaceDE/>
        <w:autoSpaceDN/>
        <w:bidi w:val="0"/>
        <w:adjustRightInd/>
        <w:snapToGrid/>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抢抓中国（安徽）自贸区黄山联动创新区建设契机，积极培育数字服务出口贸易，推动数字内容、数字文创等特色产品“走出去”。支持本土软件企业承接国际软件外包业务、开展国际研发合作，主动融入全球软件产业分工协作体系。持续优化外商投资环境，加强国际软件项目引进力度，力争将一批国际软件企业“请进来”。依托屯溪国际会客厅优势，争取承办软件行业峰会、论坛、博览会，搭建国际软件产业资源对接平台，力争重大科技成果、重大项目落户黄山，提升软件产业国际开放合作发展能级。</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9"/>
      </w:tblGrid>
      <w:tr w14:paraId="236D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9" w:type="dxa"/>
          </w:tcPr>
          <w:p w14:paraId="7A08E09F">
            <w:pPr>
              <w:keepNext w:val="0"/>
              <w:keepLines w:val="0"/>
              <w:pageBreakBefore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8"/>
                <w14:textFill>
                  <w14:solidFill>
                    <w14:schemeClr w14:val="tx1"/>
                  </w14:solidFill>
                </w14:textFill>
              </w:rPr>
              <w:t>专栏4 软件产业合作工程</w:t>
            </w:r>
          </w:p>
        </w:tc>
      </w:tr>
      <w:tr w14:paraId="74D8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9" w:type="dxa"/>
          </w:tcPr>
          <w:p w14:paraId="73E01CD9">
            <w:pPr>
              <w:keepNext w:val="0"/>
              <w:keepLines w:val="0"/>
              <w:pageBreakBefore w:val="0"/>
              <w:widowControl/>
              <w:kinsoku/>
              <w:wordWrap/>
              <w:overflowPunct/>
              <w:topLinePunct w:val="0"/>
              <w:autoSpaceDE/>
              <w:autoSpaceDN/>
              <w:bidi w:val="0"/>
              <w:spacing w:line="500" w:lineRule="exact"/>
              <w:ind w:firstLine="562"/>
              <w:textAlignment w:val="auto"/>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8"/>
                <w14:textFill>
                  <w14:solidFill>
                    <w14:schemeClr w14:val="tx1"/>
                  </w14:solidFill>
                </w14:textFill>
              </w:rPr>
              <w:t>推动杭黄地区深度合作。平台合作，</w:t>
            </w:r>
            <w:r>
              <w:rPr>
                <w:rFonts w:hint="default" w:ascii="Times New Roman" w:hAnsi="Times New Roman" w:cs="Times New Roman"/>
                <w:color w:val="000000" w:themeColor="text1"/>
                <w:kern w:val="0"/>
                <w:sz w:val="28"/>
                <w:szCs w:val="28"/>
                <w14:textFill>
                  <w14:solidFill>
                    <w14:schemeClr w14:val="tx1"/>
                  </w14:solidFill>
                </w14:textFill>
              </w:rPr>
              <w:t>强化与杭州市软件产业合作交流，鼓励两地共建共享公共技术平台等，助推成果异地转化，实现标准规范、认证检测结果互信互认。</w:t>
            </w:r>
            <w:r>
              <w:rPr>
                <w:rFonts w:hint="default" w:ascii="Times New Roman" w:hAnsi="Times New Roman" w:cs="Times New Roman"/>
                <w:b/>
                <w:bCs/>
                <w:color w:val="000000" w:themeColor="text1"/>
                <w:kern w:val="0"/>
                <w:sz w:val="28"/>
                <w:szCs w:val="28"/>
                <w14:textFill>
                  <w14:solidFill>
                    <w14:schemeClr w14:val="tx1"/>
                  </w14:solidFill>
                </w14:textFill>
              </w:rPr>
              <w:t>企业合作</w:t>
            </w:r>
            <w:r>
              <w:rPr>
                <w:rFonts w:hint="default" w:ascii="Times New Roman" w:hAnsi="Times New Roman" w:cs="Times New Roman"/>
                <w:color w:val="000000" w:themeColor="text1"/>
                <w:kern w:val="0"/>
                <w:sz w:val="28"/>
                <w:szCs w:val="28"/>
                <w14:textFill>
                  <w14:solidFill>
                    <w14:schemeClr w14:val="tx1"/>
                  </w14:solidFill>
                </w14:textFill>
              </w:rPr>
              <w:t>，积极对接杭州软件企业，争取在应用软件、工业互联网平台软件、大数据及云计算服务、区块链软件等领域共享杭州研发团队、开源软件等。</w:t>
            </w:r>
            <w:r>
              <w:rPr>
                <w:rFonts w:hint="default" w:ascii="Times New Roman" w:hAnsi="Times New Roman" w:cs="Times New Roman"/>
                <w:b/>
                <w:bCs/>
                <w:color w:val="000000" w:themeColor="text1"/>
                <w:kern w:val="0"/>
                <w:sz w:val="28"/>
                <w:szCs w:val="28"/>
                <w14:textFill>
                  <w14:solidFill>
                    <w14:schemeClr w14:val="tx1"/>
                  </w14:solidFill>
                </w14:textFill>
              </w:rPr>
              <w:t>项目合作</w:t>
            </w:r>
            <w:r>
              <w:rPr>
                <w:rFonts w:hint="default" w:ascii="Times New Roman" w:hAnsi="Times New Roman" w:cs="Times New Roman"/>
                <w:color w:val="000000" w:themeColor="text1"/>
                <w:kern w:val="0"/>
                <w:sz w:val="28"/>
                <w:szCs w:val="28"/>
                <w14:textFill>
                  <w14:solidFill>
                    <w14:schemeClr w14:val="tx1"/>
                  </w14:solidFill>
                </w14:textFill>
              </w:rPr>
              <w:t>，梳理本市企业项目、技术需求清单，对接杭州项目合作资源，实现两地项目协同、互补发展。</w:t>
            </w:r>
            <w:r>
              <w:rPr>
                <w:rFonts w:hint="default" w:ascii="Times New Roman" w:hAnsi="Times New Roman" w:cs="Times New Roman"/>
                <w:b/>
                <w:bCs/>
                <w:color w:val="000000" w:themeColor="text1"/>
                <w:kern w:val="0"/>
                <w:sz w:val="28"/>
                <w:szCs w:val="28"/>
                <w14:textFill>
                  <w14:solidFill>
                    <w14:schemeClr w14:val="tx1"/>
                  </w14:solidFill>
                </w14:textFill>
              </w:rPr>
              <w:t>人才合作</w:t>
            </w:r>
            <w:r>
              <w:rPr>
                <w:rFonts w:hint="default" w:ascii="Times New Roman" w:hAnsi="Times New Roman" w:cs="Times New Roman"/>
                <w:color w:val="000000" w:themeColor="text1"/>
                <w:kern w:val="0"/>
                <w:sz w:val="28"/>
                <w:szCs w:val="28"/>
                <w14:textFill>
                  <w14:solidFill>
                    <w14:schemeClr w14:val="tx1"/>
                  </w14:solidFill>
                </w14:textFill>
              </w:rPr>
              <w:t>，加强对接浙江大学、杭州电子科技大学等杭州高校资源，支持共建人才实习实训基地；支持两地共建人才招聘平台，推动软件人才集聚。</w:t>
            </w:r>
          </w:p>
          <w:p w14:paraId="0E251783">
            <w:pPr>
              <w:keepNext w:val="0"/>
              <w:keepLines w:val="0"/>
              <w:pageBreakBefore w:val="0"/>
              <w:widowControl/>
              <w:kinsoku/>
              <w:wordWrap/>
              <w:overflowPunct/>
              <w:topLinePunct w:val="0"/>
              <w:autoSpaceDE/>
              <w:autoSpaceDN/>
              <w:bidi w:val="0"/>
              <w:spacing w:line="500" w:lineRule="exact"/>
              <w:ind w:firstLine="562"/>
              <w:textAlignment w:val="auto"/>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2"/>
                <w14:textFill>
                  <w14:solidFill>
                    <w14:schemeClr w14:val="tx1"/>
                  </w14:solidFill>
                </w14:textFill>
              </w:rPr>
              <w:t>强化产业合作服务。</w:t>
            </w:r>
            <w:r>
              <w:rPr>
                <w:rFonts w:hint="default" w:ascii="Times New Roman" w:hAnsi="Times New Roman" w:cs="Times New Roman"/>
                <w:color w:val="000000" w:themeColor="text1"/>
                <w:kern w:val="0"/>
                <w:sz w:val="28"/>
                <w:szCs w:val="22"/>
                <w14:textFill>
                  <w14:solidFill>
                    <w14:schemeClr w14:val="tx1"/>
                  </w14:solidFill>
                </w14:textFill>
              </w:rPr>
              <w:t>积极承办“科大讯飞全球1024开发者节·黄山城市峰会”等活动，加强与发达地区的交流与对接，策划打造一批沙龙、活动、项目推介会，为本地企业链接人才、技术、资金等多方资源。探索引进第三方服务机构，为企业国际化发展提供市场化、专业化服务。</w:t>
            </w:r>
          </w:p>
        </w:tc>
      </w:tr>
    </w:tbl>
    <w:p w14:paraId="35A2B94B">
      <w:pPr>
        <w:pStyle w:val="5"/>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bookmarkStart w:id="60" w:name="_Toc21620"/>
      <w:bookmarkStart w:id="61" w:name="_Toc5028"/>
      <w:r>
        <w:rPr>
          <w:rFonts w:hint="default" w:ascii="Times New Roman" w:hAnsi="Times New Roman" w:cs="Times New Roman"/>
          <w:color w:val="000000" w:themeColor="text1"/>
          <w14:textFill>
            <w14:solidFill>
              <w14:schemeClr w14:val="tx1"/>
            </w14:solidFill>
          </w14:textFill>
        </w:rPr>
        <w:t>（五）聚焦生态体系构建，打造产业坚实支撑</w:t>
      </w:r>
      <w:bookmarkEnd w:id="60"/>
      <w:bookmarkEnd w:id="61"/>
    </w:p>
    <w:p w14:paraId="729B0078">
      <w:pPr>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bookmarkStart w:id="62" w:name="_Toc3679"/>
      <w:r>
        <w:rPr>
          <w:rFonts w:hint="default" w:ascii="Times New Roman" w:hAnsi="Times New Roman" w:cs="Times New Roman"/>
          <w:color w:val="000000" w:themeColor="text1"/>
          <w14:textFill>
            <w14:solidFill>
              <w14:schemeClr w14:val="tx1"/>
            </w14:solidFill>
          </w14:textFill>
        </w:rPr>
        <w:t>坚持创新在产业发展中的核心地位，强化多层次创新载体建设，推进公共服务平台建设，</w:t>
      </w:r>
      <w:r>
        <w:rPr>
          <w:rFonts w:hint="default" w:ascii="Times New Roman" w:hAnsi="Times New Roman" w:cs="Times New Roman"/>
          <w:color w:val="000000" w:themeColor="text1"/>
          <w:lang w:val="en-US" w:eastAsia="zh-CN"/>
          <w14:textFill>
            <w14:solidFill>
              <w14:schemeClr w14:val="tx1"/>
            </w14:solidFill>
          </w14:textFill>
        </w:rPr>
        <w:t>积极开放应用场景，</w:t>
      </w:r>
      <w:r>
        <w:rPr>
          <w:rFonts w:hint="default" w:ascii="Times New Roman" w:hAnsi="Times New Roman" w:cs="Times New Roman"/>
          <w:color w:val="000000" w:themeColor="text1"/>
          <w14:textFill>
            <w14:solidFill>
              <w14:schemeClr w14:val="tx1"/>
            </w14:solidFill>
          </w14:textFill>
        </w:rPr>
        <w:t>提供软件企业全生命周期服务，营造优越的产业发展环境。</w:t>
      </w:r>
    </w:p>
    <w:p w14:paraId="592535B2">
      <w:pPr>
        <w:pStyle w:val="6"/>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1.优化创新创业环境</w:t>
      </w:r>
      <w:bookmarkEnd w:id="62"/>
    </w:p>
    <w:p w14:paraId="4F8598E5">
      <w:pPr>
        <w:pStyle w:val="8"/>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eastAsia="仿宋_GB2312" w:cs="Times New Roman"/>
          <w:color w:val="000000" w:themeColor="text1"/>
          <w:sz w:val="32"/>
          <w:szCs w:val="24"/>
          <w14:textFill>
            <w14:solidFill>
              <w14:schemeClr w14:val="tx1"/>
            </w14:solidFill>
          </w14:textFill>
        </w:rPr>
      </w:pPr>
      <w:r>
        <w:rPr>
          <w:rFonts w:hint="default" w:ascii="Times New Roman" w:hAnsi="Times New Roman" w:eastAsia="仿宋_GB2312" w:cs="Times New Roman"/>
          <w:color w:val="000000" w:themeColor="text1"/>
          <w:sz w:val="32"/>
          <w:szCs w:val="24"/>
          <w14:textFill>
            <w14:solidFill>
              <w14:schemeClr w14:val="tx1"/>
            </w14:solidFill>
          </w14:textFill>
        </w:rPr>
        <w:t>支持企业与科研院所、高等院校联合设立软件和信息技术服务研究中心、协同创新中心、企业技术中心等平台，构建多层次的科研载体体系。积极部署软件云开发平台、企业级快速开发框架等新型开发平台，提供云端化、轻量化、服务化的“一站式”开发服务。围绕软件产业创新发展需求，统筹布局和建设检测认证、成果转化、信息交流等公共服务平台，持续完善知识产权、测试验证、产业化投资评估、市场推广和赛事运营等从软件开发到市场应用各环节的公共服务。</w:t>
      </w:r>
    </w:p>
    <w:p w14:paraId="52E5AD57">
      <w:pPr>
        <w:pStyle w:val="6"/>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bookmarkStart w:id="63" w:name="_Toc22317"/>
      <w:r>
        <w:rPr>
          <w:rFonts w:hint="default" w:ascii="Times New Roman" w:hAnsi="Times New Roman" w:cs="Times New Roman"/>
          <w:color w:val="000000" w:themeColor="text1"/>
          <w14:textFill>
            <w14:solidFill>
              <w14:schemeClr w14:val="tx1"/>
            </w14:solidFill>
          </w14:textFill>
        </w:rPr>
        <w:t>2.</w:t>
      </w:r>
      <w:r>
        <w:rPr>
          <w:rFonts w:hint="default" w:ascii="Times New Roman" w:hAnsi="Times New Roman" w:cs="Times New Roman"/>
          <w:color w:val="000000" w:themeColor="text1"/>
          <w:lang w:val="en-US" w:eastAsia="zh-CN"/>
          <w14:textFill>
            <w14:solidFill>
              <w14:schemeClr w14:val="tx1"/>
            </w14:solidFill>
          </w14:textFill>
        </w:rPr>
        <w:t>积极拓展应用场景</w:t>
      </w:r>
    </w:p>
    <w:p w14:paraId="7C5C2630">
      <w:pPr>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聚焦智慧旅游、数字创意、数字乡村、数字政府等重点领域，鼓励具备应用条件的政府、事业单位、景区、乡村等开放应用场景，支持企业开发“软件+应用场景”优秀解决方案，打造一批具有全国影响力的智能应用软件示范项目，促进重点领域企业向全国推广新产品、新技术、新模式。大力推动工业互联网平台软件、能碳及生态环境监管软件等领域供需对接，促进优质软件在本地制造业等领域企业试点与集成应用，通过规模化应用，培育一批产业层级高、带动能力强的项目和高端品牌。在保障数据安全的基础上，开放政府和城市数据应用场景，加强对经过脱敏等安全处理的数据资源管理、开发和应用，支持开展数据增值服务及运用数据进行商业模式创新。</w:t>
      </w:r>
    </w:p>
    <w:p w14:paraId="01F1B695">
      <w:pPr>
        <w:pStyle w:val="6"/>
        <w:pageBreakBefore w:val="0"/>
        <w:widowControl w:val="0"/>
        <w:kinsoku/>
        <w:wordWrap/>
        <w:overflowPunct/>
        <w:topLinePunct w:val="0"/>
        <w:autoSpaceDE/>
        <w:autoSpaceDN/>
        <w:bidi w:val="0"/>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3.推动</w:t>
      </w:r>
      <w:r>
        <w:rPr>
          <w:rFonts w:hint="default" w:ascii="Times New Roman" w:hAnsi="Times New Roman" w:cs="Times New Roman"/>
          <w:color w:val="000000" w:themeColor="text1"/>
          <w14:textFill>
            <w14:solidFill>
              <w14:schemeClr w14:val="tx1"/>
            </w14:solidFill>
          </w14:textFill>
        </w:rPr>
        <w:t>融入开源生态</w:t>
      </w:r>
      <w:bookmarkEnd w:id="63"/>
    </w:p>
    <w:p w14:paraId="5A63B49E">
      <w:pPr>
        <w:pStyle w:val="8"/>
        <w:pageBreakBefore w:val="0"/>
        <w:widowControl w:val="0"/>
        <w:kinsoku/>
        <w:wordWrap/>
        <w:overflowPunct/>
        <w:topLinePunct w:val="0"/>
        <w:autoSpaceDE/>
        <w:autoSpaceDN/>
        <w:bidi w:val="0"/>
        <w:spacing w:line="620" w:lineRule="exact"/>
        <w:ind w:firstLine="640"/>
        <w:textAlignment w:val="auto"/>
        <w:rPr>
          <w:rFonts w:hint="default" w:ascii="Times New Roman" w:hAnsi="Times New Roman" w:eastAsia="仿宋_GB2312" w:cs="Times New Roman"/>
          <w:color w:val="000000" w:themeColor="text1"/>
          <w:sz w:val="32"/>
          <w:szCs w:val="24"/>
          <w14:textFill>
            <w14:solidFill>
              <w14:schemeClr w14:val="tx1"/>
            </w14:solidFill>
          </w14:textFill>
        </w:rPr>
      </w:pPr>
      <w:r>
        <w:rPr>
          <w:rFonts w:hint="default" w:ascii="Times New Roman" w:hAnsi="Times New Roman" w:eastAsia="仿宋_GB2312" w:cs="Times New Roman"/>
          <w:color w:val="000000" w:themeColor="text1"/>
          <w:sz w:val="32"/>
          <w:szCs w:val="24"/>
          <w14:textFill>
            <w14:solidFill>
              <w14:schemeClr w14:val="tx1"/>
            </w14:solidFill>
          </w14:textFill>
        </w:rPr>
        <w:t>支持企业积极对接融入软件开源社区、开源生态联盟等平台，以全球开源技术共享共用，提升企业软件开发能力。大力宣传共创、共建、共治、共享的开源精神，推动开源理念传播，支持有实力的骨干企业捐赠代码或提供多类型的软件使用授权，鼓励开源项目的二次开发与应用。聚焦基础应用软件、新兴技术软件等重点方向，支持基于自主模式或开源代码的行业应用软件开发。</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9"/>
      </w:tblGrid>
      <w:tr w14:paraId="64F7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9" w:type="dxa"/>
          </w:tcPr>
          <w:p w14:paraId="5B588B75">
            <w:pPr>
              <w:keepNext w:val="0"/>
              <w:keepLines w:val="0"/>
              <w:pageBreakBefore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8"/>
                <w14:textFill>
                  <w14:solidFill>
                    <w14:schemeClr w14:val="tx1"/>
                  </w14:solidFill>
                </w14:textFill>
              </w:rPr>
              <w:t>专栏5 软件生态优化工程</w:t>
            </w:r>
          </w:p>
        </w:tc>
      </w:tr>
      <w:tr w14:paraId="4026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89" w:type="dxa"/>
          </w:tcPr>
          <w:p w14:paraId="51B4569D">
            <w:pPr>
              <w:keepNext w:val="0"/>
              <w:keepLines w:val="0"/>
              <w:pageBreakBefore w:val="0"/>
              <w:widowControl/>
              <w:kinsoku/>
              <w:wordWrap/>
              <w:overflowPunct/>
              <w:topLinePunct w:val="0"/>
              <w:autoSpaceDE/>
              <w:autoSpaceDN/>
              <w:bidi w:val="0"/>
              <w:spacing w:line="500" w:lineRule="exact"/>
              <w:ind w:firstLine="562"/>
              <w:textAlignment w:val="auto"/>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8"/>
                <w14:textFill>
                  <w14:solidFill>
                    <w14:schemeClr w14:val="tx1"/>
                  </w14:solidFill>
                </w14:textFill>
              </w:rPr>
              <w:t>积极搭建软件公共服务平台。</w:t>
            </w:r>
            <w:r>
              <w:rPr>
                <w:rFonts w:hint="default" w:ascii="Times New Roman" w:hAnsi="Times New Roman" w:cs="Times New Roman"/>
                <w:color w:val="000000" w:themeColor="text1"/>
                <w:sz w:val="28"/>
                <w:szCs w:val="28"/>
                <w14:textFill>
                  <w14:solidFill>
                    <w14:schemeClr w14:val="tx1"/>
                  </w14:solidFill>
                </w14:textFill>
              </w:rPr>
              <w:t>加快推进中软黄山信创基地、信创实验室、国产软件适配中心建设，支持云海大数据建立</w:t>
            </w:r>
            <w:r>
              <w:rPr>
                <w:rFonts w:hint="default" w:ascii="Times New Roman" w:hAnsi="Times New Roman" w:cs="Times New Roman"/>
                <w:color w:val="000000" w:themeColor="text1"/>
                <w:kern w:val="0"/>
                <w:sz w:val="28"/>
                <w:szCs w:val="28"/>
                <w14:textFill>
                  <w14:solidFill>
                    <w14:schemeClr w14:val="tx1"/>
                  </w14:solidFill>
                </w14:textFill>
              </w:rPr>
              <w:t>软件测评实验室、软件创新创业孵化器等平台</w:t>
            </w:r>
            <w:r>
              <w:rPr>
                <w:rFonts w:hint="default" w:ascii="Times New Roman" w:hAnsi="Times New Roman" w:cs="Times New Roman"/>
                <w:color w:val="000000" w:themeColor="text1"/>
                <w:sz w:val="28"/>
                <w:szCs w:val="28"/>
                <w14:textFill>
                  <w14:solidFill>
                    <w14:schemeClr w14:val="tx1"/>
                  </w14:solidFill>
                </w14:textFill>
              </w:rPr>
              <w:t>。积极</w:t>
            </w:r>
            <w:r>
              <w:rPr>
                <w:rFonts w:hint="default" w:ascii="Times New Roman" w:hAnsi="Times New Roman" w:cs="Times New Roman"/>
                <w:color w:val="000000" w:themeColor="text1"/>
                <w:kern w:val="0"/>
                <w:sz w:val="28"/>
                <w:szCs w:val="28"/>
                <w14:textFill>
                  <w14:solidFill>
                    <w14:schemeClr w14:val="tx1"/>
                  </w14:solidFill>
                </w14:textFill>
              </w:rPr>
              <w:t>搭建软件测试综合服务平台，为园区企业提供软件产品登记测试、软件产品鉴定测试、信息系统验收测试、软件对比测试、功能测试、性能测试、安全测试、易用性测试、维护性测试等专业软件测试服务。支持引进软件企业代理认证机构，为企业提供软件企业评估、软件产品评估、行业资质认证代理等服务。</w:t>
            </w:r>
            <w:r>
              <w:rPr>
                <w:rFonts w:hint="default" w:ascii="Times New Roman" w:hAnsi="Times New Roman" w:cs="Times New Roman"/>
                <w:color w:val="000000" w:themeColor="text1"/>
                <w:sz w:val="28"/>
                <w:szCs w:val="28"/>
                <w14:textFill>
                  <w14:solidFill>
                    <w14:schemeClr w14:val="tx1"/>
                  </w14:solidFill>
                </w14:textFill>
              </w:rPr>
              <w:t>搭建完善园区知识产权服务体系，为园区企业提供便捷软件著作权登记、变更、撤销、转让及商标注册等服务。</w:t>
            </w:r>
          </w:p>
          <w:p w14:paraId="61DAF174">
            <w:pPr>
              <w:keepNext w:val="0"/>
              <w:keepLines w:val="0"/>
              <w:pageBreakBefore w:val="0"/>
              <w:widowControl/>
              <w:kinsoku/>
              <w:wordWrap/>
              <w:overflowPunct/>
              <w:topLinePunct w:val="0"/>
              <w:autoSpaceDE/>
              <w:autoSpaceDN/>
              <w:bidi w:val="0"/>
              <w:spacing w:line="500" w:lineRule="exact"/>
              <w:ind w:firstLine="562"/>
              <w:textAlignment w:val="auto"/>
              <w:rPr>
                <w:rFonts w:hint="default" w:ascii="Times New Roman" w:hAnsi="Times New Roman" w:cs="Times New Roman"/>
                <w:color w:val="000000" w:themeColor="text1"/>
                <w:kern w:val="0"/>
                <w:sz w:val="28"/>
                <w:szCs w:val="28"/>
                <w14:textFill>
                  <w14:solidFill>
                    <w14:schemeClr w14:val="tx1"/>
                  </w14:solidFill>
                </w14:textFill>
              </w:rPr>
            </w:pPr>
            <w:r>
              <w:rPr>
                <w:rFonts w:hint="default" w:ascii="Times New Roman" w:hAnsi="Times New Roman" w:cs="Times New Roman"/>
                <w:b/>
                <w:bCs/>
                <w:color w:val="000000" w:themeColor="text1"/>
                <w:kern w:val="0"/>
                <w:sz w:val="28"/>
                <w:szCs w:val="28"/>
                <w14:textFill>
                  <w14:solidFill>
                    <w14:schemeClr w14:val="tx1"/>
                  </w14:solidFill>
                </w14:textFill>
              </w:rPr>
              <w:t>探索开源生态构建并加强宣传推广。</w:t>
            </w:r>
            <w:r>
              <w:rPr>
                <w:rFonts w:hint="default" w:ascii="Times New Roman" w:hAnsi="Times New Roman" w:cs="Times New Roman"/>
                <w:color w:val="000000" w:themeColor="text1"/>
                <w:kern w:val="0"/>
                <w:sz w:val="28"/>
                <w:szCs w:val="28"/>
                <w14:textFill>
                  <w14:solidFill>
                    <w14:schemeClr w14:val="tx1"/>
                  </w14:solidFill>
                </w14:textFill>
              </w:rPr>
              <w:t>推动与省内外合作城市构建软件开源社区、开源生态联盟，鼓励企业、高校等积极参与软件开源生态建设；利用多种形式的活动传播开源理念，提升对开源概念的认识及认可度。</w:t>
            </w:r>
          </w:p>
        </w:tc>
      </w:tr>
    </w:tbl>
    <w:p w14:paraId="7FDEF722">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color w:val="000000" w:themeColor="text1"/>
          <w14:textFill>
            <w14:solidFill>
              <w14:schemeClr w14:val="tx1"/>
            </w14:solidFill>
          </w14:textFill>
        </w:rPr>
      </w:pPr>
      <w:bookmarkStart w:id="64" w:name="_Toc16242"/>
      <w:bookmarkStart w:id="65" w:name="_Toc27032"/>
      <w:r>
        <w:rPr>
          <w:rFonts w:hint="default" w:ascii="Times New Roman" w:hAnsi="Times New Roman" w:cs="Times New Roman"/>
          <w:color w:val="000000" w:themeColor="text1"/>
          <w14:textFill>
            <w14:solidFill>
              <w14:schemeClr w14:val="tx1"/>
            </w14:solidFill>
          </w14:textFill>
        </w:rPr>
        <w:t>六、保障措施</w:t>
      </w:r>
      <w:bookmarkEnd w:id="64"/>
      <w:bookmarkEnd w:id="65"/>
    </w:p>
    <w:p w14:paraId="5B288584">
      <w:pPr>
        <w:pStyle w:val="5"/>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cs="Times New Roman"/>
          <w:color w:val="000000" w:themeColor="text1"/>
          <w14:textFill>
            <w14:solidFill>
              <w14:schemeClr w14:val="tx1"/>
            </w14:solidFill>
          </w14:textFill>
        </w:rPr>
      </w:pPr>
      <w:bookmarkStart w:id="66" w:name="_Toc13309"/>
      <w:bookmarkStart w:id="67" w:name="_Toc13696"/>
      <w:r>
        <w:rPr>
          <w:rFonts w:hint="default" w:ascii="Times New Roman" w:hAnsi="Times New Roman" w:cs="Times New Roman"/>
          <w:color w:val="000000" w:themeColor="text1"/>
          <w14:textFill>
            <w14:solidFill>
              <w14:schemeClr w14:val="tx1"/>
            </w14:solidFill>
          </w14:textFill>
        </w:rPr>
        <w:t>（一）健全组织实施机制</w:t>
      </w:r>
      <w:bookmarkEnd w:id="66"/>
      <w:bookmarkEnd w:id="67"/>
    </w:p>
    <w:p w14:paraId="07992FE8">
      <w:pPr>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发挥黄山</w:t>
      </w:r>
      <w:r>
        <w:rPr>
          <w:rFonts w:hint="eastAsia" w:cs="Times New Roman"/>
          <w:color w:val="000000" w:themeColor="text1"/>
          <w:lang w:eastAsia="zh-CN"/>
          <w14:textFill>
            <w14:solidFill>
              <w14:schemeClr w14:val="tx1"/>
            </w14:solidFill>
          </w14:textFill>
        </w:rPr>
        <w:t>市</w:t>
      </w:r>
      <w:r>
        <w:rPr>
          <w:rFonts w:hint="default" w:ascii="Times New Roman" w:hAnsi="Times New Roman" w:cs="Times New Roman"/>
          <w:color w:val="000000" w:themeColor="text1"/>
          <w14:textFill>
            <w14:solidFill>
              <w14:schemeClr w14:val="tx1"/>
            </w14:solidFill>
          </w14:textFill>
        </w:rPr>
        <w:t>软件</w:t>
      </w:r>
      <w:r>
        <w:rPr>
          <w:rFonts w:hint="eastAsia" w:cs="Times New Roman"/>
          <w:color w:val="000000" w:themeColor="text1"/>
          <w:lang w:eastAsia="zh-CN"/>
          <w14:textFill>
            <w14:solidFill>
              <w14:schemeClr w14:val="tx1"/>
            </w14:solidFill>
          </w14:textFill>
        </w:rPr>
        <w:t>产业</w:t>
      </w:r>
      <w:r>
        <w:rPr>
          <w:rFonts w:hint="default" w:ascii="Times New Roman" w:hAnsi="Times New Roman" w:cs="Times New Roman"/>
          <w:color w:val="000000" w:themeColor="text1"/>
          <w14:textFill>
            <w14:solidFill>
              <w14:schemeClr w14:val="tx1"/>
            </w14:solidFill>
          </w14:textFill>
        </w:rPr>
        <w:t>园建设工作领导小组和运营管理工作专班统筹协调作用，在政策、市场、监管、保障等方面加强部门联动，推动重点工作落实，加快构建“统一管理、部门联动、分工负责、合力推进”的工作格局。主动对接上级部门，密切跟踪国家、省关于软件产业的总体布局，积极承担关键核心技术攻关、重大项目落地、重点企业培育等工作。加快组建软件和信息技术领域专家库，定期就产业发展问题提供专业指导和产业服务。谋划筹建黄山软件行业产业联盟、商协会等社会组织，搭建软件企业交流平台，推动软件相关企业联合发展、共融共生，打造软件产业发展生态圈。</w:t>
      </w:r>
    </w:p>
    <w:p w14:paraId="41BB2616">
      <w:pPr>
        <w:pStyle w:val="5"/>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cs="Times New Roman"/>
          <w:color w:val="000000" w:themeColor="text1"/>
          <w14:textFill>
            <w14:solidFill>
              <w14:schemeClr w14:val="tx1"/>
            </w14:solidFill>
          </w14:textFill>
        </w:rPr>
      </w:pPr>
      <w:bookmarkStart w:id="68" w:name="_Toc1808"/>
      <w:bookmarkStart w:id="69" w:name="_Toc8688"/>
      <w:r>
        <w:rPr>
          <w:rFonts w:hint="default" w:ascii="Times New Roman" w:hAnsi="Times New Roman" w:cs="Times New Roman"/>
          <w:color w:val="000000" w:themeColor="text1"/>
          <w14:textFill>
            <w14:solidFill>
              <w14:schemeClr w14:val="tx1"/>
            </w14:solidFill>
          </w14:textFill>
        </w:rPr>
        <w:t>（二）加大政策支持力度</w:t>
      </w:r>
      <w:bookmarkEnd w:id="68"/>
      <w:bookmarkEnd w:id="69"/>
    </w:p>
    <w:p w14:paraId="2AF884A2">
      <w:pPr>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strike/>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全面落实国家、省出台的各项关于促进软件产业发展的财税优惠政策，加强面向企业的政策宣贯和咨询辅导，充分保障软件企业增值税、所得税优惠、研发费用加计扣除等政策应享尽享。鼓励企业积极争取国家、省重大专项资金支持，独立申报或与本地高校、科研院所联合申报软件产业攻关项目。根据软件产业实际发展需求，适时优化调整《黄山市支持软件和信息技术服务产业发展若干政策》，加大在招商引资、产业集聚、企业培育、创新创业、人才引进培育、园区服务配套等重点方面扶持力度。</w:t>
      </w:r>
    </w:p>
    <w:p w14:paraId="5D34AB7C">
      <w:pPr>
        <w:pStyle w:val="5"/>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cs="Times New Roman"/>
          <w:color w:val="000000" w:themeColor="text1"/>
          <w14:textFill>
            <w14:solidFill>
              <w14:schemeClr w14:val="tx1"/>
            </w14:solidFill>
          </w14:textFill>
        </w:rPr>
      </w:pPr>
      <w:bookmarkStart w:id="70" w:name="_Toc8006"/>
      <w:bookmarkStart w:id="71" w:name="_Toc18440"/>
      <w:r>
        <w:rPr>
          <w:rFonts w:hint="default" w:ascii="Times New Roman" w:hAnsi="Times New Roman" w:cs="Times New Roman"/>
          <w:color w:val="000000" w:themeColor="text1"/>
          <w14:textFill>
            <w14:solidFill>
              <w14:schemeClr w14:val="tx1"/>
            </w14:solidFill>
          </w14:textFill>
        </w:rPr>
        <w:t>（三）拓宽投融资渠道</w:t>
      </w:r>
      <w:bookmarkEnd w:id="70"/>
      <w:bookmarkEnd w:id="71"/>
    </w:p>
    <w:p w14:paraId="0AB9EDCD">
      <w:pPr>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创新财政资金使用方式，通过以奖代补、无偿资助、贷款贴息等手段提升财政资金使用效益，大力支持智慧旅游、数字创意等领域的软件研发与应用创新。发挥资本市场对资源配置的重要作用，支持金融机构开发知识产权贷、产业链贷等金融信贷产品。发挥政府性融资担保机构增信作用，为本市软件和信息服务企业提供融资担保服务，引导金融资本、社会资本加大对种子期、初创期、成长期软件企业的投资力度。积极对接上海、杭州资本市场，引导风险投资机构投入本市优质软件和信息服务企业。</w:t>
      </w:r>
    </w:p>
    <w:p w14:paraId="394F2ECB">
      <w:pPr>
        <w:pStyle w:val="5"/>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cs="Times New Roman"/>
          <w:color w:val="000000" w:themeColor="text1"/>
          <w14:textFill>
            <w14:solidFill>
              <w14:schemeClr w14:val="tx1"/>
            </w14:solidFill>
          </w14:textFill>
        </w:rPr>
      </w:pPr>
      <w:bookmarkStart w:id="72" w:name="_Toc9145"/>
      <w:bookmarkStart w:id="73" w:name="_Toc5123"/>
      <w:r>
        <w:rPr>
          <w:rFonts w:hint="default" w:ascii="Times New Roman" w:hAnsi="Times New Roman" w:cs="Times New Roman"/>
          <w:color w:val="000000" w:themeColor="text1"/>
          <w14:textFill>
            <w14:solidFill>
              <w14:schemeClr w14:val="tx1"/>
            </w14:solidFill>
          </w14:textFill>
        </w:rPr>
        <w:t>（四）加强园区考核评估</w:t>
      </w:r>
      <w:bookmarkEnd w:id="72"/>
      <w:bookmarkEnd w:id="73"/>
    </w:p>
    <w:p w14:paraId="58138422">
      <w:pPr>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color w:val="000000" w:themeColor="text1"/>
          <w14:textFill>
            <w14:solidFill>
              <w14:schemeClr w14:val="tx1"/>
            </w14:solidFill>
          </w14:textFill>
        </w:rPr>
        <w:sectPr>
          <w:footerReference r:id="rId12" w:type="default"/>
          <w:pgSz w:w="11906" w:h="16838"/>
          <w:pgMar w:top="2098" w:right="1474" w:bottom="1984" w:left="1587" w:header="851" w:footer="992" w:gutter="0"/>
          <w:pgNumType w:start="1"/>
          <w:cols w:space="425" w:num="1"/>
          <w:docGrid w:type="lines" w:linePitch="312" w:charSpace="0"/>
        </w:sectPr>
      </w:pPr>
      <w:bookmarkStart w:id="74" w:name="_Toc8569"/>
      <w:r>
        <w:rPr>
          <w:rFonts w:hint="default" w:ascii="Times New Roman" w:hAnsi="Times New Roman" w:cs="Times New Roman"/>
          <w:color w:val="000000" w:themeColor="text1"/>
          <w14:textFill>
            <w14:solidFill>
              <w14:schemeClr w14:val="tx1"/>
            </w14:solidFill>
          </w14:textFill>
        </w:rPr>
        <w:t>以园区发展规划的战略定位、发展目标和重点任务为指引，按年度、按部门分解下达软件园提质增效的目标任务，对关键技术攻关、重大项目落地、重点企业培育等工作进行跟踪监测，及时发现、研究和解决软件园建设及软件产业发展过程中存在的问题，确保各项任务落实到位。</w:t>
      </w:r>
      <w:bookmarkEnd w:id="74"/>
    </w:p>
    <w:p w14:paraId="7C3FF164">
      <w:pPr>
        <w:pStyle w:val="4"/>
        <w:ind w:firstLine="640"/>
        <w:rPr>
          <w:rFonts w:hint="default" w:ascii="Times New Roman" w:hAnsi="Times New Roman" w:cs="Times New Roman"/>
          <w:color w:val="000000" w:themeColor="text1"/>
          <w14:textFill>
            <w14:solidFill>
              <w14:schemeClr w14:val="tx1"/>
            </w14:solidFill>
          </w14:textFill>
        </w:rPr>
      </w:pPr>
      <w:bookmarkStart w:id="75" w:name="_Toc3397"/>
      <w:bookmarkStart w:id="76" w:name="_Toc4478"/>
      <w:r>
        <w:rPr>
          <w:rFonts w:hint="default" w:ascii="Times New Roman" w:hAnsi="Times New Roman" w:cs="Times New Roman"/>
          <w:color w:val="000000" w:themeColor="text1"/>
          <w14:textFill>
            <w14:solidFill>
              <w14:schemeClr w14:val="tx1"/>
            </w14:solidFill>
          </w14:textFill>
        </w:rPr>
        <w:t>附件一：黄山软件园发展规划任务分解表</w:t>
      </w:r>
      <w:bookmarkEnd w:id="75"/>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4094"/>
        <w:gridCol w:w="3805"/>
      </w:tblGrid>
      <w:tr w14:paraId="71F5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379C672D">
            <w:pPr>
              <w:spacing w:line="240" w:lineRule="auto"/>
              <w:ind w:firstLine="0" w:firstLineChars="0"/>
              <w:jc w:val="center"/>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序号</w:t>
            </w:r>
          </w:p>
        </w:tc>
        <w:tc>
          <w:tcPr>
            <w:tcW w:w="4094" w:type="dxa"/>
            <w:shd w:val="clear" w:color="auto" w:fill="auto"/>
            <w:vAlign w:val="center"/>
          </w:tcPr>
          <w:p w14:paraId="3AC94D13">
            <w:pPr>
              <w:spacing w:line="240" w:lineRule="auto"/>
              <w:ind w:firstLine="0" w:firstLineChars="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任务</w:t>
            </w:r>
          </w:p>
        </w:tc>
        <w:tc>
          <w:tcPr>
            <w:tcW w:w="3805" w:type="dxa"/>
            <w:shd w:val="clear" w:color="auto" w:fill="auto"/>
            <w:vAlign w:val="center"/>
          </w:tcPr>
          <w:p w14:paraId="7277C5AC">
            <w:pPr>
              <w:spacing w:line="240" w:lineRule="auto"/>
              <w:ind w:firstLine="0" w:firstLineChars="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责任单位</w:t>
            </w:r>
          </w:p>
        </w:tc>
      </w:tr>
      <w:tr w14:paraId="3854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35" w:type="dxa"/>
            <w:gridSpan w:val="3"/>
            <w:shd w:val="clear" w:color="auto" w:fill="auto"/>
            <w:vAlign w:val="center"/>
          </w:tcPr>
          <w:p w14:paraId="3B159B3E">
            <w:pPr>
              <w:spacing w:line="240" w:lineRule="auto"/>
              <w:ind w:firstLine="0" w:firstLineChars="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一、主要目标</w:t>
            </w:r>
          </w:p>
        </w:tc>
      </w:tr>
      <w:tr w14:paraId="48B5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0376AF70">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w:t>
            </w:r>
          </w:p>
        </w:tc>
        <w:tc>
          <w:tcPr>
            <w:tcW w:w="4094" w:type="dxa"/>
            <w:shd w:val="clear" w:color="auto" w:fill="auto"/>
            <w:vAlign w:val="center"/>
          </w:tcPr>
          <w:p w14:paraId="4F8CADD1">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到2027年全市软件和信息技术服务业营业收入目标达60亿。</w:t>
            </w:r>
          </w:p>
        </w:tc>
        <w:tc>
          <w:tcPr>
            <w:tcW w:w="3805" w:type="dxa"/>
            <w:shd w:val="clear" w:color="auto" w:fill="auto"/>
            <w:vAlign w:val="center"/>
          </w:tcPr>
          <w:p w14:paraId="11DBC548">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市经信局牵头，各区县人民政府、黄山高新区管委会、黄山现代服务业产业园管委会配合</w:t>
            </w:r>
          </w:p>
        </w:tc>
      </w:tr>
      <w:tr w14:paraId="781B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39D499DA">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w:t>
            </w:r>
          </w:p>
        </w:tc>
        <w:tc>
          <w:tcPr>
            <w:tcW w:w="4094" w:type="dxa"/>
            <w:shd w:val="clear" w:color="auto" w:fill="auto"/>
            <w:vAlign w:val="center"/>
          </w:tcPr>
          <w:p w14:paraId="7E34E9B4">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到2027年黄山软件园软件和信息技术服务业营业收入达40亿元。</w:t>
            </w:r>
          </w:p>
        </w:tc>
        <w:tc>
          <w:tcPr>
            <w:tcW w:w="3805" w:type="dxa"/>
            <w:shd w:val="clear" w:color="auto" w:fill="auto"/>
            <w:vAlign w:val="center"/>
          </w:tcPr>
          <w:p w14:paraId="5C8B05BB">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黄山现代服务业产业园管委会牵头</w:t>
            </w:r>
          </w:p>
        </w:tc>
      </w:tr>
      <w:tr w14:paraId="15DC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691A99CB">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w:t>
            </w:r>
          </w:p>
        </w:tc>
        <w:tc>
          <w:tcPr>
            <w:tcW w:w="4094" w:type="dxa"/>
            <w:shd w:val="clear" w:color="auto" w:fill="auto"/>
            <w:vAlign w:val="center"/>
          </w:tcPr>
          <w:p w14:paraId="386CA9C2">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到2027年培育规上企业20家以上，高新技术企业15家以上。</w:t>
            </w:r>
          </w:p>
        </w:tc>
        <w:tc>
          <w:tcPr>
            <w:tcW w:w="3805" w:type="dxa"/>
            <w:shd w:val="clear" w:color="auto" w:fill="auto"/>
            <w:vAlign w:val="center"/>
          </w:tcPr>
          <w:p w14:paraId="193EB612">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市经信局、市科技局</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市发改委牵头，各区县人民政府、黄山高新区管委会、黄山现代服务业产业园管委会配合</w:t>
            </w:r>
          </w:p>
        </w:tc>
      </w:tr>
      <w:tr w14:paraId="387D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5BEF75AB">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w:t>
            </w:r>
          </w:p>
        </w:tc>
        <w:tc>
          <w:tcPr>
            <w:tcW w:w="4094" w:type="dxa"/>
            <w:shd w:val="clear" w:color="auto" w:fill="auto"/>
            <w:vAlign w:val="center"/>
          </w:tcPr>
          <w:p w14:paraId="38B79F61">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到2027年全市集聚一批软件行业人才，成功搭建结构合理的软件人才队伍。</w:t>
            </w:r>
          </w:p>
        </w:tc>
        <w:tc>
          <w:tcPr>
            <w:tcW w:w="3805" w:type="dxa"/>
            <w:shd w:val="clear" w:color="auto" w:fill="auto"/>
            <w:vAlign w:val="center"/>
          </w:tcPr>
          <w:p w14:paraId="46DA6E8E">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市人社局</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市</w:t>
            </w:r>
            <w:r>
              <w:rPr>
                <w:rFonts w:hint="default" w:ascii="Times New Roman" w:hAnsi="Times New Roman" w:cs="Times New Roman"/>
                <w:color w:val="000000" w:themeColor="text1"/>
                <w:sz w:val="24"/>
                <w14:textFill>
                  <w14:solidFill>
                    <w14:schemeClr w14:val="tx1"/>
                  </w14:solidFill>
                </w14:textFill>
              </w:rPr>
              <w:t>人才办牵头，各区县人民政府、黄山高新区管委会、黄山现代服务业产业园管委会配合</w:t>
            </w:r>
          </w:p>
        </w:tc>
      </w:tr>
      <w:tr w14:paraId="4139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35" w:type="dxa"/>
            <w:gridSpan w:val="3"/>
            <w:shd w:val="clear" w:color="auto" w:fill="auto"/>
            <w:vAlign w:val="center"/>
          </w:tcPr>
          <w:p w14:paraId="779FAD92">
            <w:pPr>
              <w:spacing w:line="240" w:lineRule="auto"/>
              <w:ind w:firstLine="0" w:firstLineChars="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二、重点举措</w:t>
            </w:r>
          </w:p>
        </w:tc>
      </w:tr>
      <w:tr w14:paraId="7E9C2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71835182">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w:t>
            </w:r>
          </w:p>
        </w:tc>
        <w:tc>
          <w:tcPr>
            <w:tcW w:w="4094" w:type="dxa"/>
            <w:shd w:val="clear" w:color="auto" w:fill="auto"/>
            <w:vAlign w:val="center"/>
          </w:tcPr>
          <w:p w14:paraId="4191C678">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完善文创小镇、中安科创城等载体基础设施、新基建及生活配套设施建设。</w:t>
            </w:r>
          </w:p>
        </w:tc>
        <w:tc>
          <w:tcPr>
            <w:tcW w:w="3805" w:type="dxa"/>
            <w:shd w:val="clear" w:color="auto" w:fill="auto"/>
            <w:vAlign w:val="center"/>
          </w:tcPr>
          <w:p w14:paraId="03557F16">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黄山现代服务产业园管委会牵头，各相关部门配合</w:t>
            </w:r>
          </w:p>
        </w:tc>
      </w:tr>
      <w:tr w14:paraId="29B1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22C938B3">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w:t>
            </w:r>
          </w:p>
        </w:tc>
        <w:tc>
          <w:tcPr>
            <w:tcW w:w="4094" w:type="dxa"/>
            <w:shd w:val="clear" w:color="auto" w:fill="auto"/>
            <w:vAlign w:val="center"/>
          </w:tcPr>
          <w:p w14:paraId="5295515B">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设立软件产业引导基金，加大对软件产业金融支持。</w:t>
            </w:r>
          </w:p>
        </w:tc>
        <w:tc>
          <w:tcPr>
            <w:tcW w:w="3805" w:type="dxa"/>
            <w:shd w:val="clear" w:color="auto" w:fill="auto"/>
            <w:vAlign w:val="center"/>
          </w:tcPr>
          <w:p w14:paraId="3ADFA52F">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市财政局、市地方金融监管局牵头，黄山现代服务业产业园管委会、市经信局配合</w:t>
            </w:r>
          </w:p>
        </w:tc>
      </w:tr>
      <w:tr w14:paraId="2F48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0A557E89">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w:t>
            </w:r>
          </w:p>
        </w:tc>
        <w:tc>
          <w:tcPr>
            <w:tcW w:w="4094" w:type="dxa"/>
            <w:shd w:val="clear" w:color="auto" w:fill="auto"/>
            <w:vAlign w:val="center"/>
          </w:tcPr>
          <w:p w14:paraId="02FE910E">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设立专业化软件园运营机构。</w:t>
            </w:r>
          </w:p>
        </w:tc>
        <w:tc>
          <w:tcPr>
            <w:tcW w:w="3805" w:type="dxa"/>
            <w:shd w:val="clear" w:color="auto" w:fill="auto"/>
            <w:vAlign w:val="center"/>
          </w:tcPr>
          <w:p w14:paraId="3793CDE3">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黄山现代服务业产业园管委会牵头</w:t>
            </w:r>
          </w:p>
        </w:tc>
      </w:tr>
      <w:tr w14:paraId="4171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105A0D6F">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w:t>
            </w:r>
          </w:p>
        </w:tc>
        <w:tc>
          <w:tcPr>
            <w:tcW w:w="4094" w:type="dxa"/>
            <w:shd w:val="clear" w:color="auto" w:fill="auto"/>
            <w:vAlign w:val="center"/>
          </w:tcPr>
          <w:p w14:paraId="4F031E60">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建立健全软件园体制机制。</w:t>
            </w:r>
          </w:p>
        </w:tc>
        <w:tc>
          <w:tcPr>
            <w:tcW w:w="3805" w:type="dxa"/>
            <w:shd w:val="clear" w:color="auto" w:fill="auto"/>
            <w:vAlign w:val="center"/>
          </w:tcPr>
          <w:p w14:paraId="77729B8A">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黄山现代服务业产业园管委会牵头，市经信局配合</w:t>
            </w:r>
          </w:p>
        </w:tc>
      </w:tr>
      <w:tr w14:paraId="49B5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shd w:val="clear" w:color="auto" w:fill="auto"/>
            <w:vAlign w:val="center"/>
          </w:tcPr>
          <w:p w14:paraId="755C2745">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w:t>
            </w:r>
          </w:p>
        </w:tc>
        <w:tc>
          <w:tcPr>
            <w:tcW w:w="4094" w:type="dxa"/>
            <w:shd w:val="clear" w:color="auto" w:fill="auto"/>
            <w:vAlign w:val="center"/>
          </w:tcPr>
          <w:p w14:paraId="128DC83A">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培育一批软件和信息技术服务业骨干企业、“专精特新”中小企业、初创企业。</w:t>
            </w:r>
          </w:p>
        </w:tc>
        <w:tc>
          <w:tcPr>
            <w:tcW w:w="3805" w:type="dxa"/>
            <w:shd w:val="clear" w:color="auto" w:fill="auto"/>
            <w:vAlign w:val="center"/>
          </w:tcPr>
          <w:p w14:paraId="5EC7DE72">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市经信局、黄山现代服务业产业园管委会牵头</w:t>
            </w:r>
          </w:p>
        </w:tc>
      </w:tr>
      <w:tr w14:paraId="7AB3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7B7D5CB7">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w:t>
            </w:r>
          </w:p>
        </w:tc>
        <w:tc>
          <w:tcPr>
            <w:tcW w:w="4094" w:type="dxa"/>
            <w:shd w:val="clear" w:color="auto" w:fill="auto"/>
            <w:vAlign w:val="center"/>
          </w:tcPr>
          <w:p w14:paraId="6083453B">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招引一批智慧旅游、数字创意、新兴软件等领域的优质企业。</w:t>
            </w:r>
          </w:p>
        </w:tc>
        <w:tc>
          <w:tcPr>
            <w:tcW w:w="3805" w:type="dxa"/>
            <w:shd w:val="clear" w:color="auto" w:fill="auto"/>
            <w:vAlign w:val="center"/>
          </w:tcPr>
          <w:p w14:paraId="70FEEA35">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市投资促进局牵头，市经信局、市文旅局、黄山现代服务业产业园管委会配合</w:t>
            </w:r>
          </w:p>
        </w:tc>
      </w:tr>
      <w:tr w14:paraId="7CC0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75A5CCEB">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7</w:t>
            </w:r>
          </w:p>
        </w:tc>
        <w:tc>
          <w:tcPr>
            <w:tcW w:w="4094" w:type="dxa"/>
            <w:shd w:val="clear" w:color="auto" w:fill="auto"/>
            <w:vAlign w:val="center"/>
          </w:tcPr>
          <w:p w14:paraId="7C825878">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招引一批软件开发人才、管理人才、运维人才、创新创业领军人才、专家教授等。</w:t>
            </w:r>
          </w:p>
        </w:tc>
        <w:tc>
          <w:tcPr>
            <w:tcW w:w="3805" w:type="dxa"/>
            <w:shd w:val="clear" w:color="auto" w:fill="auto"/>
            <w:vAlign w:val="center"/>
          </w:tcPr>
          <w:p w14:paraId="2F456CD3">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市人社局</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市</w:t>
            </w:r>
            <w:r>
              <w:rPr>
                <w:rFonts w:hint="default" w:ascii="Times New Roman" w:hAnsi="Times New Roman" w:cs="Times New Roman"/>
                <w:color w:val="000000" w:themeColor="text1"/>
                <w:sz w:val="24"/>
                <w:lang w:val="en-US" w:eastAsia="zh-CN"/>
                <w14:textFill>
                  <w14:solidFill>
                    <w14:schemeClr w14:val="tx1"/>
                  </w14:solidFill>
                </w14:textFill>
              </w:rPr>
              <w:t>人才办</w:t>
            </w:r>
            <w:r>
              <w:rPr>
                <w:rFonts w:hint="default" w:ascii="Times New Roman" w:hAnsi="Times New Roman" w:cs="Times New Roman"/>
                <w:color w:val="000000" w:themeColor="text1"/>
                <w:sz w:val="24"/>
                <w14:textFill>
                  <w14:solidFill>
                    <w14:schemeClr w14:val="tx1"/>
                  </w14:solidFill>
                </w14:textFill>
              </w:rPr>
              <w:t>牵头，市投促局、</w:t>
            </w:r>
            <w:r>
              <w:rPr>
                <w:rFonts w:hint="default" w:ascii="Times New Roman" w:hAnsi="Times New Roman" w:cs="Times New Roman"/>
                <w:color w:val="000000" w:themeColor="text1"/>
                <w:sz w:val="24"/>
                <w:lang w:val="en-US" w:eastAsia="zh-CN"/>
                <w14:textFill>
                  <w14:solidFill>
                    <w14:schemeClr w14:val="tx1"/>
                  </w14:solidFill>
                </w14:textFill>
              </w:rPr>
              <w:t>市经信局、</w:t>
            </w:r>
            <w:r>
              <w:rPr>
                <w:rFonts w:hint="default" w:ascii="Times New Roman" w:hAnsi="Times New Roman" w:cs="Times New Roman"/>
                <w:color w:val="000000" w:themeColor="text1"/>
                <w:sz w:val="24"/>
                <w14:textFill>
                  <w14:solidFill>
                    <w14:schemeClr w14:val="tx1"/>
                  </w14:solidFill>
                </w14:textFill>
              </w:rPr>
              <w:t>黄山现代服务业产业园管委会配合</w:t>
            </w:r>
          </w:p>
        </w:tc>
      </w:tr>
      <w:tr w14:paraId="2899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583F5C23">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8</w:t>
            </w:r>
          </w:p>
        </w:tc>
        <w:tc>
          <w:tcPr>
            <w:tcW w:w="4094" w:type="dxa"/>
            <w:shd w:val="clear" w:color="auto" w:fill="auto"/>
            <w:vAlign w:val="center"/>
          </w:tcPr>
          <w:p w14:paraId="08AF1800">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定向培养软件和信息技术服务业紧缺岗位人才。</w:t>
            </w:r>
          </w:p>
        </w:tc>
        <w:tc>
          <w:tcPr>
            <w:tcW w:w="3805" w:type="dxa"/>
            <w:shd w:val="clear" w:color="auto" w:fill="auto"/>
            <w:vAlign w:val="center"/>
          </w:tcPr>
          <w:p w14:paraId="21014620">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市人社局</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市</w:t>
            </w:r>
            <w:r>
              <w:rPr>
                <w:rFonts w:hint="default" w:ascii="Times New Roman" w:hAnsi="Times New Roman" w:cs="Times New Roman"/>
                <w:color w:val="000000" w:themeColor="text1"/>
                <w:sz w:val="24"/>
                <w14:textFill>
                  <w14:solidFill>
                    <w14:schemeClr w14:val="tx1"/>
                  </w14:solidFill>
                </w14:textFill>
              </w:rPr>
              <w:t>人才办牵头，市经信局、市教育局</w:t>
            </w:r>
            <w:r>
              <w:rPr>
                <w:rFonts w:hint="default"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黄山职业技术学院</w:t>
            </w:r>
            <w:r>
              <w:rPr>
                <w:rFonts w:hint="default" w:ascii="Times New Roman" w:hAnsi="Times New Roman" w:cs="Times New Roman"/>
                <w:color w:val="000000" w:themeColor="text1"/>
                <w:sz w:val="24"/>
                <w14:textFill>
                  <w14:solidFill>
                    <w14:schemeClr w14:val="tx1"/>
                  </w14:solidFill>
                </w14:textFill>
              </w:rPr>
              <w:t>配合</w:t>
            </w:r>
          </w:p>
        </w:tc>
      </w:tr>
      <w:tr w14:paraId="5507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149C77BB">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w:t>
            </w:r>
          </w:p>
        </w:tc>
        <w:tc>
          <w:tcPr>
            <w:tcW w:w="4094" w:type="dxa"/>
            <w:shd w:val="clear" w:color="auto" w:fill="auto"/>
            <w:vAlign w:val="center"/>
          </w:tcPr>
          <w:p w14:paraId="6B0B0104">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对接上海、杭州、合肥软件产业集群，建立软件产业战略合作。</w:t>
            </w:r>
          </w:p>
        </w:tc>
        <w:tc>
          <w:tcPr>
            <w:tcW w:w="3805" w:type="dxa"/>
            <w:shd w:val="clear" w:color="auto" w:fill="auto"/>
            <w:vAlign w:val="center"/>
          </w:tcPr>
          <w:p w14:paraId="30AFC432">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市经信局、市投资促进局牵头，黄山现代服务业产业园管委会配合</w:t>
            </w:r>
          </w:p>
        </w:tc>
      </w:tr>
      <w:tr w14:paraId="33B1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34F18902">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w:t>
            </w:r>
          </w:p>
        </w:tc>
        <w:tc>
          <w:tcPr>
            <w:tcW w:w="4094" w:type="dxa"/>
            <w:shd w:val="clear" w:color="auto" w:fill="auto"/>
            <w:vAlign w:val="center"/>
          </w:tcPr>
          <w:p w14:paraId="170F8BD5">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建设软件和信息技术服务企业技术中心、创新创业孵化器、公共服务平台。</w:t>
            </w:r>
          </w:p>
        </w:tc>
        <w:tc>
          <w:tcPr>
            <w:tcW w:w="3805" w:type="dxa"/>
            <w:shd w:val="clear" w:color="auto" w:fill="auto"/>
            <w:vAlign w:val="center"/>
          </w:tcPr>
          <w:p w14:paraId="2B4005E6">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黄山现代服务业产业园管委会牵头，各相关部门配合</w:t>
            </w:r>
          </w:p>
        </w:tc>
      </w:tr>
      <w:tr w14:paraId="75FC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2E2F3F23">
            <w:pPr>
              <w:spacing w:line="240" w:lineRule="auto"/>
              <w:ind w:firstLine="0" w:firstLineChars="0"/>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11</w:t>
            </w:r>
          </w:p>
        </w:tc>
        <w:tc>
          <w:tcPr>
            <w:tcW w:w="4094" w:type="dxa"/>
            <w:shd w:val="clear" w:color="auto" w:fill="auto"/>
            <w:vAlign w:val="center"/>
          </w:tcPr>
          <w:p w14:paraId="1A419A76">
            <w:pPr>
              <w:spacing w:line="240" w:lineRule="auto"/>
              <w:ind w:firstLine="0" w:firstLineChars="0"/>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开放一批智慧旅游、数字创意、数字政府、数字乡村等领域应用场景；</w:t>
            </w:r>
            <w:r>
              <w:rPr>
                <w:rFonts w:hint="eastAsia" w:cs="Times New Roman"/>
                <w:color w:val="000000" w:themeColor="text1"/>
                <w:sz w:val="24"/>
                <w:lang w:val="en-US" w:eastAsia="zh-CN"/>
                <w14:textFill>
                  <w14:solidFill>
                    <w14:schemeClr w14:val="tx1"/>
                  </w14:solidFill>
                </w14:textFill>
              </w:rPr>
              <w:t>推进</w:t>
            </w:r>
            <w:r>
              <w:rPr>
                <w:rFonts w:hint="default" w:ascii="Times New Roman" w:hAnsi="Times New Roman" w:eastAsia="仿宋_GB2312" w:cs="Times New Roman"/>
                <w:color w:val="000000" w:themeColor="text1"/>
                <w:sz w:val="24"/>
                <w:lang w:val="en-US" w:eastAsia="zh-CN"/>
                <w14:textFill>
                  <w14:solidFill>
                    <w14:schemeClr w14:val="tx1"/>
                  </w14:solidFill>
                </w14:textFill>
              </w:rPr>
              <w:t>政府和城市数据</w:t>
            </w:r>
            <w:r>
              <w:rPr>
                <w:rFonts w:hint="eastAsia" w:cs="Times New Roman"/>
                <w:color w:val="000000" w:themeColor="text1"/>
                <w:sz w:val="24"/>
                <w:lang w:val="en-US" w:eastAsia="zh-CN"/>
                <w14:textFill>
                  <w14:solidFill>
                    <w14:schemeClr w14:val="tx1"/>
                  </w14:solidFill>
                </w14:textFill>
              </w:rPr>
              <w:t>有序开放</w:t>
            </w:r>
            <w:r>
              <w:rPr>
                <w:rFonts w:hint="default" w:ascii="Times New Roman" w:hAnsi="Times New Roman" w:cs="Times New Roman"/>
                <w:color w:val="000000" w:themeColor="text1"/>
                <w:sz w:val="24"/>
                <w:lang w:val="en-US" w:eastAsia="zh-CN"/>
                <w14:textFill>
                  <w14:solidFill>
                    <w14:schemeClr w14:val="tx1"/>
                  </w14:solidFill>
                </w14:textFill>
              </w:rPr>
              <w:t>。</w:t>
            </w:r>
          </w:p>
        </w:tc>
        <w:tc>
          <w:tcPr>
            <w:tcW w:w="3805" w:type="dxa"/>
            <w:shd w:val="clear" w:color="auto" w:fill="auto"/>
            <w:vAlign w:val="center"/>
          </w:tcPr>
          <w:p w14:paraId="6126942F">
            <w:pPr>
              <w:spacing w:line="240" w:lineRule="auto"/>
              <w:ind w:firstLine="0" w:firstLineChars="0"/>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市经信局</w:t>
            </w:r>
            <w:r>
              <w:rPr>
                <w:rFonts w:hint="eastAsia"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市数据资源管理局牵头，市发改委、市文旅</w:t>
            </w:r>
            <w:r>
              <w:rPr>
                <w:rFonts w:hint="eastAsia" w:cs="Times New Roman"/>
                <w:color w:val="000000" w:themeColor="text1"/>
                <w:sz w:val="24"/>
                <w:lang w:val="en-US" w:eastAsia="zh-CN"/>
                <w14:textFill>
                  <w14:solidFill>
                    <w14:schemeClr w14:val="tx1"/>
                  </w14:solidFill>
                </w14:textFill>
              </w:rPr>
              <w:t>局</w:t>
            </w:r>
            <w:r>
              <w:rPr>
                <w:rFonts w:hint="default" w:ascii="Times New Roman" w:hAnsi="Times New Roman" w:cs="Times New Roman"/>
                <w:color w:val="000000" w:themeColor="text1"/>
                <w:sz w:val="24"/>
                <w:lang w:val="en-US" w:eastAsia="zh-CN"/>
                <w14:textFill>
                  <w14:solidFill>
                    <w14:schemeClr w14:val="tx1"/>
                  </w14:solidFill>
                </w14:textFill>
              </w:rPr>
              <w:t>、市农业农村局配合</w:t>
            </w:r>
          </w:p>
        </w:tc>
      </w:tr>
      <w:tr w14:paraId="2378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835" w:type="dxa"/>
            <w:gridSpan w:val="3"/>
            <w:shd w:val="clear" w:color="auto" w:fill="auto"/>
            <w:vAlign w:val="center"/>
          </w:tcPr>
          <w:p w14:paraId="05A426C9">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三、细分领域培育</w:t>
            </w:r>
          </w:p>
        </w:tc>
      </w:tr>
      <w:tr w14:paraId="0BE9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07D33270">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w:t>
            </w:r>
          </w:p>
        </w:tc>
        <w:tc>
          <w:tcPr>
            <w:tcW w:w="4094" w:type="dxa"/>
            <w:shd w:val="clear" w:color="auto" w:fill="auto"/>
            <w:vAlign w:val="center"/>
          </w:tcPr>
          <w:p w14:paraId="78F53437">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推进智慧旅游、数字创意领域发展。</w:t>
            </w:r>
          </w:p>
        </w:tc>
        <w:tc>
          <w:tcPr>
            <w:tcW w:w="3805" w:type="dxa"/>
            <w:shd w:val="clear" w:color="auto" w:fill="auto"/>
            <w:vAlign w:val="center"/>
          </w:tcPr>
          <w:p w14:paraId="6AA52824">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市文旅局牵头</w:t>
            </w:r>
          </w:p>
        </w:tc>
      </w:tr>
      <w:tr w14:paraId="3EC4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08D6E159">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w:t>
            </w:r>
          </w:p>
        </w:tc>
        <w:tc>
          <w:tcPr>
            <w:tcW w:w="4094" w:type="dxa"/>
            <w:shd w:val="clear" w:color="auto" w:fill="auto"/>
            <w:vAlign w:val="center"/>
          </w:tcPr>
          <w:p w14:paraId="633ACD81">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推进数字政府领域发展。</w:t>
            </w:r>
          </w:p>
        </w:tc>
        <w:tc>
          <w:tcPr>
            <w:tcW w:w="3805" w:type="dxa"/>
            <w:shd w:val="clear" w:color="auto" w:fill="auto"/>
            <w:vAlign w:val="center"/>
          </w:tcPr>
          <w:p w14:paraId="12EF3BA3">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市数据资源管理局牵头</w:t>
            </w:r>
          </w:p>
        </w:tc>
      </w:tr>
      <w:tr w14:paraId="5FA7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63F05B84">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77" w:name="_Toc4473"/>
            <w:r>
              <w:rPr>
                <w:rFonts w:hint="default" w:ascii="Times New Roman" w:hAnsi="Times New Roman" w:cs="Times New Roman"/>
                <w:color w:val="000000" w:themeColor="text1"/>
                <w:sz w:val="24"/>
                <w14:textFill>
                  <w14:solidFill>
                    <w14:schemeClr w14:val="tx1"/>
                  </w14:solidFill>
                </w14:textFill>
              </w:rPr>
              <w:t>3</w:t>
            </w:r>
          </w:p>
        </w:tc>
        <w:tc>
          <w:tcPr>
            <w:tcW w:w="4094" w:type="dxa"/>
            <w:shd w:val="clear" w:color="auto" w:fill="auto"/>
            <w:vAlign w:val="center"/>
          </w:tcPr>
          <w:p w14:paraId="7EB4D2F4">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推进数字乡村领域发展。</w:t>
            </w:r>
          </w:p>
        </w:tc>
        <w:tc>
          <w:tcPr>
            <w:tcW w:w="3805" w:type="dxa"/>
            <w:shd w:val="clear" w:color="auto" w:fill="auto"/>
            <w:vAlign w:val="center"/>
          </w:tcPr>
          <w:p w14:paraId="6B4B3F70">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市农业农村局牵头</w:t>
            </w:r>
          </w:p>
        </w:tc>
      </w:tr>
      <w:tr w14:paraId="69CC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53688A16">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w:t>
            </w:r>
          </w:p>
        </w:tc>
        <w:tc>
          <w:tcPr>
            <w:tcW w:w="4094" w:type="dxa"/>
            <w:shd w:val="clear" w:color="auto" w:fill="auto"/>
            <w:vAlign w:val="center"/>
          </w:tcPr>
          <w:p w14:paraId="133C26DC">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推进工业互联网平台软件、大数据及云计算服务、区块链软件领域发展。</w:t>
            </w:r>
          </w:p>
        </w:tc>
        <w:tc>
          <w:tcPr>
            <w:tcW w:w="3805" w:type="dxa"/>
            <w:shd w:val="clear" w:color="auto" w:fill="auto"/>
            <w:vAlign w:val="center"/>
          </w:tcPr>
          <w:p w14:paraId="3DBF9095">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市经信局、市数据资源管理局、市发改委牵头</w:t>
            </w:r>
          </w:p>
        </w:tc>
      </w:tr>
      <w:tr w14:paraId="55DF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36" w:type="dxa"/>
            <w:shd w:val="clear" w:color="auto" w:fill="auto"/>
            <w:vAlign w:val="center"/>
          </w:tcPr>
          <w:p w14:paraId="0EF95BA8">
            <w:pPr>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w:t>
            </w:r>
          </w:p>
        </w:tc>
        <w:tc>
          <w:tcPr>
            <w:tcW w:w="4094" w:type="dxa"/>
            <w:shd w:val="clear" w:color="auto" w:fill="auto"/>
            <w:vAlign w:val="center"/>
          </w:tcPr>
          <w:p w14:paraId="1ED96C09">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推进能碳及生态环境监管软件领域发展。</w:t>
            </w:r>
          </w:p>
        </w:tc>
        <w:tc>
          <w:tcPr>
            <w:tcW w:w="3805" w:type="dxa"/>
            <w:shd w:val="clear" w:color="auto" w:fill="auto"/>
            <w:vAlign w:val="center"/>
          </w:tcPr>
          <w:p w14:paraId="70E9E506">
            <w:pPr>
              <w:spacing w:line="240" w:lineRule="auto"/>
              <w:ind w:firstLine="0" w:firstLineChars="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市生态环境局牵头，市信投集团配合</w:t>
            </w:r>
          </w:p>
        </w:tc>
      </w:tr>
      <w:bookmarkEnd w:id="76"/>
      <w:bookmarkEnd w:id="77"/>
    </w:tbl>
    <w:p w14:paraId="7060B8EF">
      <w:pPr>
        <w:keepNext w:val="0"/>
        <w:keepLines w:val="0"/>
        <w:pageBreakBefore w:val="0"/>
        <w:widowControl w:val="0"/>
        <w:kinsoku/>
        <w:wordWrap/>
        <w:overflowPunct/>
        <w:topLinePunct w:val="0"/>
        <w:autoSpaceDE/>
        <w:autoSpaceDN/>
        <w:bidi w:val="0"/>
        <w:adjustRightInd/>
        <w:snapToGrid/>
        <w:ind w:firstLine="643"/>
        <w:textAlignment w:val="auto"/>
        <w:outlineLvl w:val="0"/>
        <w:rPr>
          <w:rFonts w:hint="default" w:ascii="Times New Roman" w:hAnsi="Times New Roman" w:eastAsia="黑体" w:cs="Times New Roman"/>
          <w:b/>
          <w:bCs/>
          <w:color w:val="000000" w:themeColor="text1"/>
          <w14:textFill>
            <w14:solidFill>
              <w14:schemeClr w14:val="tx1"/>
            </w14:solidFill>
          </w14:textFill>
        </w:rPr>
      </w:pPr>
      <w:bookmarkStart w:id="78" w:name="_Toc8429"/>
      <w:bookmarkStart w:id="79" w:name="_Toc24619"/>
      <w:bookmarkStart w:id="80" w:name="_Toc28089"/>
      <w:bookmarkStart w:id="81" w:name="_Toc26826"/>
      <w:bookmarkStart w:id="82" w:name="_Toc24138"/>
      <w:r>
        <w:rPr>
          <w:rFonts w:hint="default" w:ascii="Times New Roman" w:hAnsi="Times New Roman" w:eastAsia="黑体" w:cs="Times New Roman"/>
          <w:b w:val="0"/>
          <w:bCs w:val="0"/>
          <w:color w:val="000000" w:themeColor="text1"/>
          <w14:textFill>
            <w14:solidFill>
              <w14:schemeClr w14:val="tx1"/>
            </w14:solidFill>
          </w14:textFill>
        </w:rPr>
        <w:t>附件二：黄山市软件产业招商指引</w:t>
      </w:r>
    </w:p>
    <w:p w14:paraId="7C5831E3">
      <w:pPr>
        <w:keepNext w:val="0"/>
        <w:keepLines w:val="0"/>
        <w:pageBreakBefore w:val="0"/>
        <w:widowControl w:val="0"/>
        <w:kinsoku/>
        <w:wordWrap/>
        <w:overflowPunct/>
        <w:topLinePunct w:val="0"/>
        <w:autoSpaceDE/>
        <w:autoSpaceDN/>
        <w:bidi w:val="0"/>
        <w:adjustRightInd/>
        <w:snapToGrid/>
        <w:ind w:firstLine="643"/>
        <w:textAlignment w:val="auto"/>
        <w:outlineLvl w:val="1"/>
        <w:rPr>
          <w:rFonts w:hint="default" w:ascii="Times New Roman" w:hAnsi="Times New Roman" w:eastAsia="楷体_GB2312" w:cs="Times New Roman"/>
          <w:b/>
          <w:bCs/>
          <w:color w:val="000000" w:themeColor="text1"/>
          <w:lang w:val="en-US" w:eastAsia="zh-CN"/>
          <w14:textFill>
            <w14:solidFill>
              <w14:schemeClr w14:val="tx1"/>
            </w14:solidFill>
          </w14:textFill>
        </w:rPr>
      </w:pPr>
      <w:r>
        <w:rPr>
          <w:rFonts w:hint="default" w:ascii="Times New Roman" w:hAnsi="Times New Roman" w:eastAsia="楷体_GB2312" w:cs="Times New Roman"/>
          <w:b/>
          <w:bCs/>
          <w:color w:val="000000" w:themeColor="text1"/>
          <w14:textFill>
            <w14:solidFill>
              <w14:schemeClr w14:val="tx1"/>
            </w14:solidFill>
          </w14:textFill>
        </w:rPr>
        <w:t>（一）</w:t>
      </w:r>
      <w:bookmarkEnd w:id="78"/>
      <w:bookmarkEnd w:id="79"/>
      <w:bookmarkEnd w:id="80"/>
      <w:bookmarkEnd w:id="81"/>
      <w:r>
        <w:rPr>
          <w:rFonts w:hint="default" w:ascii="Times New Roman" w:hAnsi="Times New Roman" w:eastAsia="楷体_GB2312" w:cs="Times New Roman"/>
          <w:b/>
          <w:bCs/>
          <w:color w:val="000000" w:themeColor="text1"/>
          <w:lang w:val="en-US" w:eastAsia="zh-CN"/>
          <w14:textFill>
            <w14:solidFill>
              <w14:schemeClr w14:val="tx1"/>
            </w14:solidFill>
          </w14:textFill>
        </w:rPr>
        <w:t>软件和信息技术服务产业链情况</w:t>
      </w:r>
    </w:p>
    <w:p w14:paraId="07B8293A">
      <w:pPr>
        <w:keepNext w:val="0"/>
        <w:keepLines w:val="0"/>
        <w:pageBreakBefore w:val="0"/>
        <w:widowControl w:val="0"/>
        <w:kinsoku/>
        <w:wordWrap/>
        <w:overflowPunct/>
        <w:topLinePunct w:val="0"/>
        <w:autoSpaceDE/>
        <w:autoSpaceDN/>
        <w:bidi w:val="0"/>
        <w:adjustRightInd/>
        <w:snapToGrid/>
        <w:ind w:firstLine="0"/>
        <w:textAlignment w:val="auto"/>
        <w:outlineLvl w:val="9"/>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随着研发技术的不断创新，产品应用的不断深化，全球分工模式的大致形成，软件产业链也逐渐清晰。</w:t>
      </w:r>
      <w:r>
        <w:rPr>
          <w:rFonts w:hint="default" w:ascii="Times New Roman" w:hAnsi="Times New Roman" w:cs="Times New Roman"/>
          <w:color w:val="000000" w:themeColor="text1"/>
          <w:lang w:val="en-US" w:eastAsia="zh-CN"/>
          <w14:textFill>
            <w14:solidFill>
              <w14:schemeClr w14:val="tx1"/>
            </w14:solidFill>
          </w14:textFill>
        </w:rPr>
        <w:t>软件和信息技术服务产业链上游主要包括</w:t>
      </w:r>
      <w:r>
        <w:rPr>
          <w:rFonts w:hint="default" w:ascii="Times New Roman" w:hAnsi="Times New Roman" w:cs="Times New Roman"/>
          <w:color w:val="000000" w:themeColor="text1"/>
          <w14:textFill>
            <w14:solidFill>
              <w14:schemeClr w14:val="tx1"/>
            </w14:solidFill>
          </w14:textFill>
        </w:rPr>
        <w:t>基础软件、</w:t>
      </w:r>
      <w:r>
        <w:rPr>
          <w:rFonts w:hint="default" w:ascii="Times New Roman" w:hAnsi="Times New Roman" w:cs="Times New Roman"/>
          <w:color w:val="000000" w:themeColor="text1"/>
          <w:lang w:eastAsia="zh-CN"/>
          <w14:textFill>
            <w14:solidFill>
              <w14:schemeClr w14:val="tx1"/>
            </w14:solidFill>
          </w14:textFill>
        </w:rPr>
        <w:t>支撑</w:t>
      </w:r>
      <w:r>
        <w:rPr>
          <w:rFonts w:hint="default" w:ascii="Times New Roman" w:hAnsi="Times New Roman" w:cs="Times New Roman"/>
          <w:color w:val="000000" w:themeColor="text1"/>
          <w14:textFill>
            <w14:solidFill>
              <w14:schemeClr w14:val="tx1"/>
            </w14:solidFill>
          </w14:textFill>
        </w:rPr>
        <w:t>软件、平台软件等</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与硬件连接最密切的技术（如操作系统、中间件等基础软件）是软件和信息技术服务业上游的底层和核心领域。</w:t>
      </w:r>
      <w:r>
        <w:rPr>
          <w:rFonts w:hint="default" w:ascii="Times New Roman" w:hAnsi="Times New Roman" w:cs="Times New Roman"/>
          <w:color w:val="000000" w:themeColor="text1"/>
          <w:lang w:val="en-US" w:eastAsia="zh-CN"/>
          <w14:textFill>
            <w14:solidFill>
              <w14:schemeClr w14:val="tx1"/>
            </w14:solidFill>
          </w14:textFill>
        </w:rPr>
        <w:t>中游环节，由应用软件、工业软件、嵌入式技术、信息技术服务、信息安全等应用和服务组成；在新一代信息技术快速发展更新的背景下，以区块链、云计算、大数据、人工智能为代表的新兴领域不断扩大软件应用和服务水平。下游环节是各行业应用，涉及从航空航天、汽车制造到个人用户的各种场景。</w:t>
      </w:r>
    </w:p>
    <w:p w14:paraId="0C1972FE">
      <w:pPr>
        <w:spacing w:line="240" w:lineRule="auto"/>
        <w:ind w:firstLine="0" w:firstLineChars="0"/>
        <w:outlineLvl w:val="9"/>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仿宋_GB2312" w:cs="Times New Roman"/>
          <w:color w:val="000000" w:themeColor="text1"/>
          <w:lang w:eastAsia="zh-CN"/>
          <w14:textFill>
            <w14:solidFill>
              <w14:schemeClr w14:val="tx1"/>
            </w14:solidFill>
          </w14:textFill>
        </w:rPr>
        <w:drawing>
          <wp:inline distT="0" distB="0" distL="114300" distR="114300">
            <wp:extent cx="5610225" cy="4417695"/>
            <wp:effectExtent l="0" t="0" r="3175" b="1905"/>
            <wp:docPr id="2" name="图片 2" descr="1683978697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3978697974"/>
                    <pic:cNvPicPr>
                      <a:picLocks noChangeAspect="1"/>
                    </pic:cNvPicPr>
                  </pic:nvPicPr>
                  <pic:blipFill>
                    <a:blip r:embed="rId15"/>
                    <a:stretch>
                      <a:fillRect/>
                    </a:stretch>
                  </pic:blipFill>
                  <pic:spPr>
                    <a:xfrm>
                      <a:off x="0" y="0"/>
                      <a:ext cx="5610225" cy="4417695"/>
                    </a:xfrm>
                    <a:prstGeom prst="rect">
                      <a:avLst/>
                    </a:prstGeom>
                  </pic:spPr>
                </pic:pic>
              </a:graphicData>
            </a:graphic>
          </wp:inline>
        </w:drawing>
      </w:r>
    </w:p>
    <w:p w14:paraId="25E635F8">
      <w:pPr>
        <w:spacing w:line="240" w:lineRule="auto"/>
        <w:ind w:firstLine="0" w:firstLineChars="0"/>
        <w:jc w:val="center"/>
        <w:outlineLvl w:val="9"/>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图1 软件和信息技术服务产业链全景图</w:t>
      </w:r>
    </w:p>
    <w:p w14:paraId="2141AAE6">
      <w:pPr>
        <w:keepNext w:val="0"/>
        <w:keepLines w:val="0"/>
        <w:pageBreakBefore w:val="0"/>
        <w:widowControl w:val="0"/>
        <w:kinsoku/>
        <w:wordWrap/>
        <w:overflowPunct/>
        <w:topLinePunct w:val="0"/>
        <w:autoSpaceDE/>
        <w:autoSpaceDN/>
        <w:bidi w:val="0"/>
        <w:adjustRightInd/>
        <w:snapToGrid/>
        <w:spacing w:line="620" w:lineRule="exact"/>
        <w:ind w:firstLine="643"/>
        <w:textAlignment w:val="auto"/>
        <w:outlineLvl w:val="1"/>
        <w:rPr>
          <w:rFonts w:hint="default" w:ascii="Times New Roman" w:hAnsi="Times New Roman" w:eastAsia="楷体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b/>
          <w:bCs/>
          <w:color w:val="000000" w:themeColor="text1"/>
          <w:lang w:eastAsia="zh-CN"/>
          <w14:textFill>
            <w14:solidFill>
              <w14:schemeClr w14:val="tx1"/>
            </w14:solidFill>
          </w14:textFill>
        </w:rPr>
        <w:t>（</w:t>
      </w:r>
      <w:r>
        <w:rPr>
          <w:rFonts w:hint="default" w:ascii="Times New Roman" w:hAnsi="Times New Roman" w:eastAsia="楷体_GB2312" w:cs="Times New Roman"/>
          <w:b/>
          <w:bCs/>
          <w:color w:val="000000" w:themeColor="text1"/>
          <w:lang w:val="en-US" w:eastAsia="zh-CN"/>
          <w14:textFill>
            <w14:solidFill>
              <w14:schemeClr w14:val="tx1"/>
            </w14:solidFill>
          </w14:textFill>
        </w:rPr>
        <w:t>二）</w:t>
      </w:r>
      <w:r>
        <w:rPr>
          <w:rFonts w:hint="default" w:ascii="Times New Roman" w:hAnsi="Times New Roman" w:eastAsia="楷体_GB2312" w:cs="Times New Roman"/>
          <w:b/>
          <w:bCs/>
          <w:color w:val="000000" w:themeColor="text1"/>
          <w14:textFill>
            <w14:solidFill>
              <w14:schemeClr w14:val="tx1"/>
            </w14:solidFill>
          </w14:textFill>
        </w:rPr>
        <w:t>中国软件产业发展</w:t>
      </w:r>
      <w:bookmarkEnd w:id="82"/>
      <w:r>
        <w:rPr>
          <w:rFonts w:hint="default" w:ascii="Times New Roman" w:hAnsi="Times New Roman" w:eastAsia="楷体_GB2312" w:cs="Times New Roman"/>
          <w:b/>
          <w:bCs/>
          <w:color w:val="000000" w:themeColor="text1"/>
          <w:lang w:val="en-US" w:eastAsia="zh-CN"/>
          <w14:textFill>
            <w14:solidFill>
              <w14:schemeClr w14:val="tx1"/>
            </w14:solidFill>
          </w14:textFill>
        </w:rPr>
        <w:t>现状</w:t>
      </w:r>
    </w:p>
    <w:p w14:paraId="1A1B0D81">
      <w:pPr>
        <w:pStyle w:val="2"/>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全国软件行业收入规模整体呈上升趋势，由2015年4.2万亿增长到2022年10.8万亿，增长率保持在11%以上。</w:t>
      </w:r>
    </w:p>
    <w:p w14:paraId="1BA3537D">
      <w:pPr>
        <w:pStyle w:val="3"/>
        <w:ind w:left="0" w:leftChars="0"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drawing>
          <wp:inline distT="0" distB="0" distL="0" distR="0">
            <wp:extent cx="4749800" cy="2597150"/>
            <wp:effectExtent l="4445" t="5080" r="8255" b="13970"/>
            <wp:docPr id="12538767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4D3DBC3">
      <w:pPr>
        <w:pStyle w:val="2"/>
        <w:ind w:left="440" w:firstLine="482"/>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图</w:t>
      </w:r>
      <w:r>
        <w:rPr>
          <w:rFonts w:hint="default" w:ascii="Times New Roman" w:hAnsi="Times New Roman" w:cs="Times New Roman"/>
          <w:b/>
          <w:bCs/>
          <w:color w:val="000000" w:themeColor="text1"/>
          <w:sz w:val="24"/>
          <w:lang w:val="en-US" w:eastAsia="zh-CN"/>
          <w14:textFill>
            <w14:solidFill>
              <w14:schemeClr w14:val="tx1"/>
            </w14:solidFill>
          </w14:textFill>
        </w:rPr>
        <w:t>2</w:t>
      </w:r>
      <w:r>
        <w:rPr>
          <w:rFonts w:hint="default" w:ascii="Times New Roman" w:hAnsi="Times New Roman" w:cs="Times New Roman"/>
          <w:b/>
          <w:bCs/>
          <w:color w:val="000000" w:themeColor="text1"/>
          <w:sz w:val="24"/>
          <w14:textFill>
            <w14:solidFill>
              <w14:schemeClr w14:val="tx1"/>
            </w14:solidFill>
          </w14:textFill>
        </w:rPr>
        <w:t xml:space="preserve">  2015-2022年软件行业软件业务收入规模及变化趋势</w:t>
      </w:r>
    </w:p>
    <w:p w14:paraId="133B283F">
      <w:pPr>
        <w:pStyle w:val="2"/>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产业细分。</w:t>
      </w:r>
      <w:r>
        <w:rPr>
          <w:rFonts w:hint="default" w:ascii="Times New Roman" w:hAnsi="Times New Roman" w:cs="Times New Roman"/>
          <w:color w:val="000000" w:themeColor="text1"/>
          <w14:textFill>
            <w14:solidFill>
              <w14:schemeClr w14:val="tx1"/>
            </w14:solidFill>
          </w14:textFill>
        </w:rPr>
        <w:t>近年来，我国大数据平台、云计算平台、工业互联网平台等平台运营服务行业以及各行业应用软件发展迅速，2021年全国业务收入和企业数如图2所示，平台运营服务、应用软件和信息技术咨询业务收入占据行业前三，分别占软件行业整体业务收入19.63%、14.48%和9.06%，企业数量排名前三为应用软件、信息技术咨询设计和基础软件，分别占软件企业总量29.25%、14.46%和12.98%。目前平台运营服务行业营收规模居行业首位，行业集中度较高，但企业数量居中。</w:t>
      </w:r>
    </w:p>
    <w:p w14:paraId="77451DDB">
      <w:pPr>
        <w:pStyle w:val="3"/>
        <w:ind w:left="0" w:leftChars="0"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drawing>
          <wp:inline distT="0" distB="0" distL="0" distR="0">
            <wp:extent cx="4781550" cy="2945765"/>
            <wp:effectExtent l="0" t="0" r="0" b="6985"/>
            <wp:docPr id="31261034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C5C1E83">
      <w:pPr>
        <w:pStyle w:val="2"/>
        <w:ind w:left="440" w:firstLine="482"/>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图</w:t>
      </w:r>
      <w:r>
        <w:rPr>
          <w:rFonts w:hint="default" w:ascii="Times New Roman" w:hAnsi="Times New Roman" w:cs="Times New Roman"/>
          <w:b/>
          <w:bCs/>
          <w:color w:val="000000" w:themeColor="text1"/>
          <w:sz w:val="24"/>
          <w:lang w:val="en-US" w:eastAsia="zh-CN"/>
          <w14:textFill>
            <w14:solidFill>
              <w14:schemeClr w14:val="tx1"/>
            </w14:solidFill>
          </w14:textFill>
        </w:rPr>
        <w:t>3</w:t>
      </w:r>
      <w:r>
        <w:rPr>
          <w:rFonts w:hint="default" w:ascii="Times New Roman" w:hAnsi="Times New Roman" w:cs="Times New Roman"/>
          <w:b/>
          <w:bCs/>
          <w:color w:val="000000" w:themeColor="text1"/>
          <w:sz w:val="24"/>
          <w14:textFill>
            <w14:solidFill>
              <w14:schemeClr w14:val="tx1"/>
            </w14:solidFill>
          </w14:textFill>
        </w:rPr>
        <w:t xml:space="preserve">  2021年软件细分行业软件业务收入及企业数量</w:t>
      </w:r>
    </w:p>
    <w:p w14:paraId="3E3B6668">
      <w:pPr>
        <w:pStyle w:val="2"/>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vertAlign w:val="subscript"/>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区域分布</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b/>
          <w:bCs/>
          <w:color w:val="000000" w:themeColor="text1"/>
          <w14:textFill>
            <w14:solidFill>
              <w14:schemeClr w14:val="tx1"/>
            </w14:solidFill>
          </w14:textFill>
        </w:rPr>
        <w:t>软件行业发展呈区域、人才“双集中”的态势，</w:t>
      </w:r>
      <w:r>
        <w:rPr>
          <w:rFonts w:hint="default" w:ascii="Times New Roman" w:hAnsi="Times New Roman" w:cs="Times New Roman"/>
          <w:color w:val="000000" w:themeColor="text1"/>
          <w14:textFill>
            <w14:solidFill>
              <w14:schemeClr w14:val="tx1"/>
            </w14:solidFill>
          </w14:textFill>
        </w:rPr>
        <w:t>根据国家工信部中国省（市）软件排名数据显示，2021年北京、广东、江苏、上海和山东软件业务收入位居前五，前五省份软件业务收入占全国软件收入66.29%，企业数量占全国62.16%，行业区域集中度较高。</w:t>
      </w:r>
    </w:p>
    <w:p w14:paraId="5BD9B7D2">
      <w:pPr>
        <w:pStyle w:val="2"/>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人才分布。</w:t>
      </w:r>
      <w:r>
        <w:rPr>
          <w:rFonts w:hint="default" w:ascii="Times New Roman" w:hAnsi="Times New Roman" w:cs="Times New Roman"/>
          <w:color w:val="000000" w:themeColor="text1"/>
          <w14:textFill>
            <w14:solidFill>
              <w14:schemeClr w14:val="tx1"/>
            </w14:solidFill>
          </w14:textFill>
        </w:rPr>
        <w:t>超半数的软件行业人才主要集中在广东，北京、江苏、山东、上海五地，整体从业人数和软件研发人数均占全国60%以上。软件从业人员中大专及以上学历占比可侧面反应当地的人才水平，人才数量排名前五的省份中广东、北京和山东软件从业人员中大专及以上学历占比均达到85%以上，远超全国平均水平。</w:t>
      </w:r>
    </w:p>
    <w:p w14:paraId="51D8BD03">
      <w:pPr>
        <w:pStyle w:val="3"/>
        <w:ind w:left="0" w:leftChars="0"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drawing>
          <wp:inline distT="0" distB="0" distL="0" distR="0">
            <wp:extent cx="4673600" cy="2790825"/>
            <wp:effectExtent l="0" t="0" r="12700" b="9525"/>
            <wp:docPr id="158716924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28EEC6E">
      <w:pPr>
        <w:pStyle w:val="2"/>
        <w:ind w:left="440" w:firstLine="482"/>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图</w:t>
      </w:r>
      <w:r>
        <w:rPr>
          <w:rFonts w:hint="default" w:ascii="Times New Roman" w:hAnsi="Times New Roman" w:cs="Times New Roman"/>
          <w:b/>
          <w:bCs/>
          <w:color w:val="000000" w:themeColor="text1"/>
          <w:sz w:val="24"/>
          <w:lang w:val="en-US" w:eastAsia="zh-CN"/>
          <w14:textFill>
            <w14:solidFill>
              <w14:schemeClr w14:val="tx1"/>
            </w14:solidFill>
          </w14:textFill>
        </w:rPr>
        <w:t>4</w:t>
      </w:r>
      <w:r>
        <w:rPr>
          <w:rFonts w:hint="default" w:ascii="Times New Roman" w:hAnsi="Times New Roman" w:cs="Times New Roman"/>
          <w:b/>
          <w:bCs/>
          <w:color w:val="000000" w:themeColor="text1"/>
          <w:sz w:val="24"/>
          <w14:textFill>
            <w14:solidFill>
              <w14:schemeClr w14:val="tx1"/>
            </w14:solidFill>
          </w14:textFill>
        </w:rPr>
        <w:t xml:space="preserve">  2021年各省市软件从业人员数量和研发人员数量</w:t>
      </w:r>
    </w:p>
    <w:p w14:paraId="72DDFFE0">
      <w:pPr>
        <w:pStyle w:val="2"/>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创新能力。</w:t>
      </w:r>
      <w:r>
        <w:rPr>
          <w:rFonts w:hint="default" w:ascii="Times New Roman" w:hAnsi="Times New Roman" w:cs="Times New Roman"/>
          <w:color w:val="000000" w:themeColor="text1"/>
          <w14:textFill>
            <w14:solidFill>
              <w14:schemeClr w14:val="tx1"/>
            </w14:solidFill>
          </w14:textFill>
        </w:rPr>
        <w:t>北京、广东、浙江、上海、江苏研发经费排名全国前五，创新水平较高。</w:t>
      </w:r>
    </w:p>
    <w:p w14:paraId="25F58F3D">
      <w:pPr>
        <w:pStyle w:val="3"/>
        <w:ind w:left="0" w:leftChars="0"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rPr>
        <w:drawing>
          <wp:inline distT="0" distB="0" distL="0" distR="0">
            <wp:extent cx="4749800" cy="2790825"/>
            <wp:effectExtent l="0" t="0" r="12700" b="9525"/>
            <wp:docPr id="62639369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92838E4">
      <w:pPr>
        <w:pStyle w:val="36"/>
        <w:ind w:firstLine="482"/>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图</w:t>
      </w:r>
      <w:r>
        <w:rPr>
          <w:rFonts w:hint="default"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14:textFill>
            <w14:solidFill>
              <w14:schemeClr w14:val="tx1"/>
            </w14:solidFill>
          </w14:textFill>
        </w:rPr>
        <w:t xml:space="preserve">  2021年主要省市研发经费投入情况（亿元）</w:t>
      </w:r>
    </w:p>
    <w:p w14:paraId="0A26871E">
      <w:pPr>
        <w:pStyle w:val="2"/>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同时，软件产业在各省份内部也具有高区域集中性，50%以上的软件创新要素集中在副省级城市和省会城市。以广东省和浙江省为例，深圳市、广州市研发经费合计占广东省研发经费的95.15%，杭州市研发经费占全省研发经费83.75%。</w:t>
      </w:r>
    </w:p>
    <w:p w14:paraId="06676577">
      <w:pPr>
        <w:keepNext w:val="0"/>
        <w:keepLines w:val="0"/>
        <w:pageBreakBefore w:val="0"/>
        <w:widowControl w:val="0"/>
        <w:kinsoku/>
        <w:wordWrap/>
        <w:overflowPunct/>
        <w:topLinePunct w:val="0"/>
        <w:autoSpaceDE/>
        <w:autoSpaceDN/>
        <w:bidi w:val="0"/>
        <w:adjustRightInd/>
        <w:snapToGrid/>
        <w:spacing w:line="620" w:lineRule="exact"/>
        <w:ind w:firstLine="643"/>
        <w:textAlignment w:val="auto"/>
        <w:outlineLvl w:val="1"/>
        <w:rPr>
          <w:rFonts w:hint="default" w:ascii="Times New Roman" w:hAnsi="Times New Roman" w:eastAsia="楷体_GB2312" w:cs="Times New Roman"/>
          <w:b/>
          <w:bCs/>
          <w:color w:val="000000" w:themeColor="text1"/>
          <w14:textFill>
            <w14:solidFill>
              <w14:schemeClr w14:val="tx1"/>
            </w14:solidFill>
          </w14:textFill>
        </w:rPr>
      </w:pPr>
      <w:bookmarkStart w:id="83" w:name="_Toc32173"/>
      <w:bookmarkStart w:id="84" w:name="_Toc2804"/>
      <w:bookmarkStart w:id="85" w:name="_Toc2126"/>
      <w:bookmarkStart w:id="86" w:name="_Toc22462"/>
      <w:bookmarkStart w:id="87" w:name="_Toc20537"/>
      <w:r>
        <w:rPr>
          <w:rFonts w:hint="default" w:ascii="Times New Roman" w:hAnsi="Times New Roman" w:eastAsia="楷体_GB2312" w:cs="Times New Roman"/>
          <w:b/>
          <w:bCs/>
          <w:color w:val="000000" w:themeColor="text1"/>
          <w14:textFill>
            <w14:solidFill>
              <w14:schemeClr w14:val="tx1"/>
            </w14:solidFill>
          </w14:textFill>
        </w:rPr>
        <w:t>（</w:t>
      </w:r>
      <w:r>
        <w:rPr>
          <w:rFonts w:hint="default" w:ascii="Times New Roman" w:hAnsi="Times New Roman" w:eastAsia="楷体_GB2312" w:cs="Times New Roman"/>
          <w:b/>
          <w:bCs/>
          <w:color w:val="000000" w:themeColor="text1"/>
          <w:lang w:val="en-US" w:eastAsia="zh-CN"/>
          <w14:textFill>
            <w14:solidFill>
              <w14:schemeClr w14:val="tx1"/>
            </w14:solidFill>
          </w14:textFill>
        </w:rPr>
        <w:t>三</w:t>
      </w:r>
      <w:r>
        <w:rPr>
          <w:rFonts w:hint="default" w:ascii="Times New Roman" w:hAnsi="Times New Roman" w:eastAsia="楷体_GB2312" w:cs="Times New Roman"/>
          <w:b/>
          <w:bCs/>
          <w:color w:val="000000" w:themeColor="text1"/>
          <w14:textFill>
            <w14:solidFill>
              <w14:schemeClr w14:val="tx1"/>
            </w14:solidFill>
          </w14:textFill>
        </w:rPr>
        <w:t>）长三角周边地区软件产业重点领域分析</w:t>
      </w:r>
      <w:bookmarkEnd w:id="83"/>
      <w:bookmarkEnd w:id="84"/>
      <w:bookmarkEnd w:id="85"/>
      <w:bookmarkEnd w:id="86"/>
      <w:bookmarkEnd w:id="87"/>
    </w:p>
    <w:p w14:paraId="6C61B106">
      <w:pPr>
        <w:keepNext w:val="0"/>
        <w:keepLines w:val="0"/>
        <w:pageBreakBefore w:val="0"/>
        <w:widowControl w:val="0"/>
        <w:kinsoku/>
        <w:wordWrap/>
        <w:overflowPunct/>
        <w:topLinePunct w:val="0"/>
        <w:autoSpaceDE/>
        <w:autoSpaceDN/>
        <w:bidi w:val="0"/>
        <w:adjustRightInd/>
        <w:snapToGrid/>
        <w:spacing w:line="620" w:lineRule="exact"/>
        <w:ind w:firstLine="643"/>
        <w:textAlignment w:val="auto"/>
        <w:outlineLvl w:val="2"/>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1.上海市</w:t>
      </w:r>
    </w:p>
    <w:p w14:paraId="2FF3A3AC">
      <w:pPr>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优势软件领域分析</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b/>
          <w:bCs/>
          <w:color w:val="000000" w:themeColor="text1"/>
          <w14:textFill>
            <w14:solidFill>
              <w14:schemeClr w14:val="tx1"/>
            </w14:solidFill>
          </w14:textFill>
        </w:rPr>
        <w:t>基础软件方面</w:t>
      </w:r>
      <w:r>
        <w:rPr>
          <w:rFonts w:hint="default" w:ascii="Times New Roman" w:hAnsi="Times New Roman" w:cs="Times New Roman"/>
          <w:color w:val="000000" w:themeColor="text1"/>
          <w14:textFill>
            <w14:solidFill>
              <w14:schemeClr w14:val="tx1"/>
            </w14:solidFill>
          </w14:textFill>
        </w:rPr>
        <w:t>，操作系统、数据库、通用办公软件等研发力量加速集聚，共性基础技术支撑能力显著提升，基础软件与应用系统兼容适配性不断提高，信创生态建设取得实质性进展，产业化成效显著。</w:t>
      </w:r>
      <w:r>
        <w:rPr>
          <w:rFonts w:hint="default" w:ascii="Times New Roman" w:hAnsi="Times New Roman" w:cs="Times New Roman"/>
          <w:b/>
          <w:bCs/>
          <w:color w:val="000000" w:themeColor="text1"/>
          <w14:textFill>
            <w14:solidFill>
              <w14:schemeClr w14:val="tx1"/>
            </w14:solidFill>
          </w14:textFill>
        </w:rPr>
        <w:t>行业软件方面</w:t>
      </w:r>
      <w:r>
        <w:rPr>
          <w:rFonts w:hint="default" w:ascii="Times New Roman" w:hAnsi="Times New Roman" w:cs="Times New Roman"/>
          <w:color w:val="000000" w:themeColor="text1"/>
          <w14:textFill>
            <w14:solidFill>
              <w14:schemeClr w14:val="tx1"/>
            </w14:solidFill>
          </w14:textFill>
        </w:rPr>
        <w:t>，在工业控制、轨道信号控制、交通物流等领域继续保持领先地位；金融服务领域，形成了第三方支付、互联网保险、互联网消费金融等新兴金融业态；文化娱乐服务领域，网络视听、网络文学、网络游戏等快速发展，其中在网络文学领域拥有全国90%的市场份额，在网络游戏领域市场份额超过30%；商贸流通及生活服务领域，依托数个聚合类互联网应用平台，培育了生鲜电商、直播电商、社群电商、O2O等新业态。</w:t>
      </w:r>
      <w:r>
        <w:rPr>
          <w:rFonts w:hint="default" w:ascii="Times New Roman" w:hAnsi="Times New Roman" w:cs="Times New Roman"/>
          <w:b/>
          <w:bCs/>
          <w:color w:val="000000" w:themeColor="text1"/>
          <w14:textFill>
            <w14:solidFill>
              <w14:schemeClr w14:val="tx1"/>
            </w14:solidFill>
          </w14:textFill>
        </w:rPr>
        <w:t>信息安全方面</w:t>
      </w:r>
      <w:r>
        <w:rPr>
          <w:rFonts w:hint="default" w:ascii="Times New Roman" w:hAnsi="Times New Roman" w:cs="Times New Roman"/>
          <w:color w:val="000000" w:themeColor="text1"/>
          <w14:textFill>
            <w14:solidFill>
              <w14:schemeClr w14:val="tx1"/>
            </w14:solidFill>
          </w14:textFill>
        </w:rPr>
        <w:t>，集聚了一批国家专业机构及企业实验室，树立了工业互联网、云计算、大数据、人工智能等网络安全创新应用标杆。</w:t>
      </w:r>
    </w:p>
    <w:p w14:paraId="62350527">
      <w:pPr>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未来重点布局的软件领域。</w:t>
      </w:r>
      <w:r>
        <w:rPr>
          <w:rFonts w:hint="default" w:ascii="Times New Roman" w:hAnsi="Times New Roman" w:cs="Times New Roman"/>
          <w:color w:val="000000" w:themeColor="text1"/>
          <w14:textFill>
            <w14:solidFill>
              <w14:schemeClr w14:val="tx1"/>
            </w14:solidFill>
          </w14:textFill>
        </w:rPr>
        <w:t>布局新技术，发力数字孪生、云原生、中台、低代码等新技术，以新范式优化数字化技术供给。发力在线新经济，布局在线新经济新细分市场，以新模式催生新经济。</w:t>
      </w:r>
    </w:p>
    <w:p w14:paraId="4F01111C">
      <w:pPr>
        <w:keepNext w:val="0"/>
        <w:keepLines w:val="0"/>
        <w:pageBreakBefore w:val="0"/>
        <w:widowControl w:val="0"/>
        <w:kinsoku/>
        <w:wordWrap/>
        <w:overflowPunct/>
        <w:topLinePunct w:val="0"/>
        <w:autoSpaceDE/>
        <w:autoSpaceDN/>
        <w:bidi w:val="0"/>
        <w:adjustRightInd/>
        <w:snapToGrid/>
        <w:spacing w:line="620" w:lineRule="exact"/>
        <w:ind w:firstLine="643"/>
        <w:textAlignment w:val="auto"/>
        <w:outlineLvl w:val="2"/>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2.杭州市</w:t>
      </w:r>
    </w:p>
    <w:p w14:paraId="1DCC0940">
      <w:pPr>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优势软件领域分析。</w:t>
      </w:r>
      <w:r>
        <w:rPr>
          <w:rFonts w:hint="default" w:ascii="Times New Roman" w:hAnsi="Times New Roman" w:cs="Times New Roman"/>
          <w:color w:val="000000" w:themeColor="text1"/>
          <w14:textFill>
            <w14:solidFill>
              <w14:schemeClr w14:val="tx1"/>
            </w14:solidFill>
          </w14:textFill>
        </w:rPr>
        <w:t>杭州在电子商务、金融财税、安防监控等行业应用软件和工业控制等工业软件领域走在全国前列，云计算、大数据、物联网以及移动支付等领域具有优势，主要由阿里巴巴、海康威视、恒生等龙头企业引领软件产业发展。杭州市2022年进入全国百强的企业共8家，分布在</w:t>
      </w:r>
      <w:r>
        <w:rPr>
          <w:rFonts w:hint="default" w:ascii="Times New Roman" w:hAnsi="Times New Roman" w:cs="Times New Roman"/>
          <w:b/>
          <w:bCs/>
          <w:color w:val="000000" w:themeColor="text1"/>
          <w14:textFill>
            <w14:solidFill>
              <w14:schemeClr w14:val="tx1"/>
            </w14:solidFill>
          </w14:textFill>
        </w:rPr>
        <w:t>平台软件、行业应用软件和工业软件</w:t>
      </w:r>
      <w:r>
        <w:rPr>
          <w:rFonts w:hint="default" w:ascii="Times New Roman" w:hAnsi="Times New Roman" w:cs="Times New Roman"/>
          <w:color w:val="000000" w:themeColor="text1"/>
          <w14:textFill>
            <w14:solidFill>
              <w14:schemeClr w14:val="tx1"/>
            </w14:solidFill>
          </w14:textFill>
        </w:rPr>
        <w:t>领域，</w:t>
      </w:r>
      <w:r>
        <w:rPr>
          <w:rFonts w:hint="default" w:ascii="Times New Roman" w:hAnsi="Times New Roman" w:cs="Times New Roman"/>
          <w:b/>
          <w:bCs/>
          <w:color w:val="000000" w:themeColor="text1"/>
          <w14:textFill>
            <w14:solidFill>
              <w14:schemeClr w14:val="tx1"/>
            </w14:solidFill>
          </w14:textFill>
        </w:rPr>
        <w:t>在行业应用方面</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b/>
          <w:bCs/>
          <w:color w:val="000000" w:themeColor="text1"/>
          <w14:textFill>
            <w14:solidFill>
              <w14:schemeClr w14:val="tx1"/>
            </w14:solidFill>
          </w14:textFill>
        </w:rPr>
        <w:t>安防应用软件</w:t>
      </w:r>
      <w:r>
        <w:rPr>
          <w:rFonts w:hint="default" w:ascii="Times New Roman" w:hAnsi="Times New Roman" w:cs="Times New Roman"/>
          <w:color w:val="000000" w:themeColor="text1"/>
          <w14:textFill>
            <w14:solidFill>
              <w14:schemeClr w14:val="tx1"/>
            </w14:solidFill>
          </w14:textFill>
        </w:rPr>
        <w:t>在全球处于领先位置，杭州海康威视数字技术股份有限公司、浙江大华技术股份有限公司在2020年度“全球安防50强”榜单居第一、第二位，浙江宇视科技有限公司居第六位；金融应用软件领域，恒生电子表现优异，获2020年最佳交易银行整体解决方案奖。</w:t>
      </w:r>
      <w:r>
        <w:rPr>
          <w:rFonts w:hint="default" w:ascii="Times New Roman" w:hAnsi="Times New Roman" w:cs="Times New Roman"/>
          <w:b/>
          <w:bCs/>
          <w:color w:val="000000" w:themeColor="text1"/>
          <w14:textFill>
            <w14:solidFill>
              <w14:schemeClr w14:val="tx1"/>
            </w14:solidFill>
          </w14:textFill>
        </w:rPr>
        <w:t>在工业软件领域</w:t>
      </w:r>
      <w:r>
        <w:rPr>
          <w:rFonts w:hint="default" w:ascii="Times New Roman" w:hAnsi="Times New Roman" w:cs="Times New Roman"/>
          <w:color w:val="000000" w:themeColor="text1"/>
          <w14:textFill>
            <w14:solidFill>
              <w14:schemeClr w14:val="tx1"/>
            </w14:solidFill>
          </w14:textFill>
        </w:rPr>
        <w:t>，杭州市在工业互联网上具有优势，安恒信息技术股份有限公司获全球工业互联网大奖“湛卢奖”，</w:t>
      </w:r>
      <w:r>
        <w:rPr>
          <w:rFonts w:hint="eastAsia" w:ascii="Times New Roman" w:hAnsi="Times New Roman" w:cs="Times New Roman"/>
          <w:color w:val="000000" w:themeColor="text1"/>
          <w:lang w:val="en-US" w:eastAsia="zh-CN"/>
          <w14:textFill>
            <w14:solidFill>
              <w14:schemeClr w14:val="tx1"/>
            </w14:solidFill>
          </w14:textFill>
        </w:rPr>
        <w:t>是</w:t>
      </w:r>
      <w:r>
        <w:rPr>
          <w:rFonts w:hint="default" w:ascii="Times New Roman" w:hAnsi="Times New Roman" w:cs="Times New Roman"/>
          <w:color w:val="000000" w:themeColor="text1"/>
          <w14:textFill>
            <w14:solidFill>
              <w14:schemeClr w14:val="tx1"/>
            </w14:solidFill>
          </w14:textFill>
        </w:rPr>
        <w:t>工业安全方向唯一获奖者。</w:t>
      </w:r>
      <w:r>
        <w:rPr>
          <w:rFonts w:hint="default" w:ascii="Times New Roman" w:hAnsi="Times New Roman" w:cs="Times New Roman"/>
          <w:b/>
          <w:bCs/>
          <w:color w:val="000000" w:themeColor="text1"/>
          <w14:textFill>
            <w14:solidFill>
              <w14:schemeClr w14:val="tx1"/>
            </w14:solidFill>
          </w14:textFill>
        </w:rPr>
        <w:t>在云计算领域</w:t>
      </w:r>
      <w:r>
        <w:rPr>
          <w:rFonts w:hint="default" w:ascii="Times New Roman" w:hAnsi="Times New Roman" w:cs="Times New Roman"/>
          <w:color w:val="000000" w:themeColor="text1"/>
          <w14:textFill>
            <w14:solidFill>
              <w14:schemeClr w14:val="tx1"/>
            </w14:solidFill>
          </w14:textFill>
        </w:rPr>
        <w:t>，阿里云引领行业发展，已经成为全球第三大云计算与人工智能服务商；</w:t>
      </w:r>
      <w:r>
        <w:rPr>
          <w:rFonts w:hint="default" w:ascii="Times New Roman" w:hAnsi="Times New Roman" w:cs="Times New Roman"/>
          <w:b/>
          <w:bCs/>
          <w:color w:val="000000" w:themeColor="text1"/>
          <w14:textFill>
            <w14:solidFill>
              <w14:schemeClr w14:val="tx1"/>
            </w14:solidFill>
          </w14:textFill>
        </w:rPr>
        <w:t>在区块链领域</w:t>
      </w:r>
      <w:r>
        <w:rPr>
          <w:rFonts w:hint="default" w:ascii="Times New Roman" w:hAnsi="Times New Roman" w:cs="Times New Roman"/>
          <w:color w:val="000000" w:themeColor="text1"/>
          <w14:textFill>
            <w14:solidFill>
              <w14:schemeClr w14:val="tx1"/>
            </w14:solidFill>
          </w14:textFill>
        </w:rPr>
        <w:t>，支付宝、阿里集团区块链专利数量位居全国前十，是电商产品区块链溯源领域的先驱者。</w:t>
      </w:r>
    </w:p>
    <w:p w14:paraId="44B3AF9D">
      <w:pPr>
        <w:pStyle w:val="2"/>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未来重点布局的软件领域。</w:t>
      </w:r>
      <w:r>
        <w:rPr>
          <w:rFonts w:hint="default" w:ascii="Times New Roman" w:hAnsi="Times New Roman" w:cs="Times New Roman"/>
          <w:color w:val="000000" w:themeColor="text1"/>
          <w14:textFill>
            <w14:solidFill>
              <w14:schemeClr w14:val="tx1"/>
            </w14:solidFill>
          </w14:textFill>
        </w:rPr>
        <w:t>未来杭州市将大力发展</w:t>
      </w:r>
      <w:r>
        <w:rPr>
          <w:rFonts w:hint="default" w:ascii="Times New Roman" w:hAnsi="Times New Roman" w:cs="Times New Roman"/>
          <w:b/>
          <w:bCs/>
          <w:color w:val="000000" w:themeColor="text1"/>
          <w14:textFill>
            <w14:solidFill>
              <w14:schemeClr w14:val="tx1"/>
            </w14:solidFill>
          </w14:textFill>
        </w:rPr>
        <w:t>基础软件、网络安全</w:t>
      </w:r>
      <w:r>
        <w:rPr>
          <w:rFonts w:hint="default" w:ascii="Times New Roman" w:hAnsi="Times New Roman" w:cs="Times New Roman"/>
          <w:color w:val="000000" w:themeColor="text1"/>
          <w14:textFill>
            <w14:solidFill>
              <w14:schemeClr w14:val="tx1"/>
            </w14:solidFill>
          </w14:textFill>
        </w:rPr>
        <w:t>等薄弱板块，并依托现有优势产业，发展金融科技、数字内容等领域，同时</w:t>
      </w:r>
      <w:r>
        <w:rPr>
          <w:rFonts w:hint="default" w:ascii="Times New Roman" w:hAnsi="Times New Roman" w:cs="Times New Roman"/>
          <w:b/>
          <w:bCs/>
          <w:color w:val="000000" w:themeColor="text1"/>
          <w14:textFill>
            <w14:solidFill>
              <w14:schemeClr w14:val="tx1"/>
            </w14:solidFill>
          </w14:textFill>
        </w:rPr>
        <w:t>布局量子信息、人工智能、区块链、虚拟（增强）现实、空天信息</w:t>
      </w:r>
      <w:r>
        <w:rPr>
          <w:rFonts w:hint="default" w:ascii="Times New Roman" w:hAnsi="Times New Roman" w:cs="Times New Roman"/>
          <w:color w:val="000000" w:themeColor="text1"/>
          <w14:textFill>
            <w14:solidFill>
              <w14:schemeClr w14:val="tx1"/>
            </w14:solidFill>
          </w14:textFill>
        </w:rPr>
        <w:t>等未来产业。在生活服务方面的发展重点包括</w:t>
      </w:r>
      <w:r>
        <w:rPr>
          <w:rFonts w:hint="default" w:ascii="Times New Roman" w:hAnsi="Times New Roman" w:cs="Times New Roman"/>
          <w:b/>
          <w:bCs/>
          <w:color w:val="000000" w:themeColor="text1"/>
          <w14:textFill>
            <w14:solidFill>
              <w14:schemeClr w14:val="tx1"/>
            </w14:solidFill>
          </w14:textFill>
        </w:rPr>
        <w:t>智慧出行、智慧文旅、智慧教育、智慧医疗、智慧养老</w:t>
      </w:r>
      <w:r>
        <w:rPr>
          <w:rFonts w:hint="default" w:ascii="Times New Roman" w:hAnsi="Times New Roman" w:cs="Times New Roman"/>
          <w:color w:val="000000" w:themeColor="text1"/>
          <w14:textFill>
            <w14:solidFill>
              <w14:schemeClr w14:val="tx1"/>
            </w14:solidFill>
          </w14:textFill>
        </w:rPr>
        <w:t>等领域。</w:t>
      </w:r>
    </w:p>
    <w:p w14:paraId="0965B329">
      <w:pPr>
        <w:keepNext w:val="0"/>
        <w:keepLines w:val="0"/>
        <w:pageBreakBefore w:val="0"/>
        <w:widowControl w:val="0"/>
        <w:kinsoku/>
        <w:wordWrap/>
        <w:overflowPunct/>
        <w:topLinePunct w:val="0"/>
        <w:autoSpaceDE/>
        <w:autoSpaceDN/>
        <w:bidi w:val="0"/>
        <w:adjustRightInd/>
        <w:snapToGrid/>
        <w:spacing w:line="620" w:lineRule="exact"/>
        <w:ind w:firstLine="643"/>
        <w:textAlignment w:val="auto"/>
        <w:outlineLvl w:val="2"/>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3.南京市</w:t>
      </w:r>
    </w:p>
    <w:p w14:paraId="58B64605">
      <w:pPr>
        <w:pStyle w:val="2"/>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优势软件领域分析。</w:t>
      </w:r>
      <w:r>
        <w:rPr>
          <w:rFonts w:hint="default" w:ascii="Times New Roman" w:hAnsi="Times New Roman" w:cs="Times New Roman"/>
          <w:color w:val="000000" w:themeColor="text1"/>
          <w14:textFill>
            <w14:solidFill>
              <w14:schemeClr w14:val="tx1"/>
            </w14:solidFill>
          </w14:textFill>
        </w:rPr>
        <w:t>南京软件产业以“一谷两园”布局发展，“一谷”是指中国（南京）软件谷，“两园”是指江北新区产业技术研创园和江苏软件产业园两大高层次软件名园。软件谷分为北园、南园、西园三大园区，北园依托华为、中兴、三星、VIVO等一批行业领军企业，重点建设具有全球竞争力的</w:t>
      </w:r>
      <w:r>
        <w:rPr>
          <w:rFonts w:hint="default" w:ascii="Times New Roman" w:hAnsi="Times New Roman" w:cs="Times New Roman"/>
          <w:b/>
          <w:bCs/>
          <w:color w:val="000000" w:themeColor="text1"/>
          <w14:textFill>
            <w14:solidFill>
              <w14:schemeClr w14:val="tx1"/>
            </w14:solidFill>
          </w14:textFill>
        </w:rPr>
        <w:t>通信软件及移动智能终端</w:t>
      </w:r>
      <w:r>
        <w:rPr>
          <w:rFonts w:hint="default" w:ascii="Times New Roman" w:hAnsi="Times New Roman" w:cs="Times New Roman"/>
          <w:color w:val="000000" w:themeColor="text1"/>
          <w14:textFill>
            <w14:solidFill>
              <w14:schemeClr w14:val="tx1"/>
            </w14:solidFill>
          </w14:textFill>
        </w:rPr>
        <w:t>产业研发基地；南园以中兴三区、亿嘉和等企业为支撑，聚焦发展</w:t>
      </w:r>
      <w:r>
        <w:rPr>
          <w:rFonts w:hint="default" w:ascii="Times New Roman" w:hAnsi="Times New Roman" w:cs="Times New Roman"/>
          <w:b/>
          <w:bCs/>
          <w:color w:val="000000" w:themeColor="text1"/>
          <w14:textFill>
            <w14:solidFill>
              <w14:schemeClr w14:val="tx1"/>
            </w14:solidFill>
          </w14:textFill>
        </w:rPr>
        <w:t>云计算、大数据、人工智能、虚拟现实</w:t>
      </w:r>
      <w:r>
        <w:rPr>
          <w:rFonts w:hint="default" w:ascii="Times New Roman" w:hAnsi="Times New Roman" w:cs="Times New Roman"/>
          <w:color w:val="000000" w:themeColor="text1"/>
          <w14:textFill>
            <w14:solidFill>
              <w14:schemeClr w14:val="tx1"/>
            </w14:solidFill>
          </w14:textFill>
        </w:rPr>
        <w:t>等新兴业态；西园重点打造适合中小软件企业创业孵化、创新技术、创意发展的集聚区。同时，南京市在</w:t>
      </w:r>
      <w:r>
        <w:rPr>
          <w:rFonts w:hint="default" w:ascii="Times New Roman" w:hAnsi="Times New Roman" w:cs="Times New Roman"/>
          <w:b/>
          <w:bCs/>
          <w:color w:val="000000" w:themeColor="text1"/>
          <w14:textFill>
            <w14:solidFill>
              <w14:schemeClr w14:val="tx1"/>
            </w14:solidFill>
          </w14:textFill>
        </w:rPr>
        <w:t>智能电网软件、智能交通软件、信息安全软件等行业应用软件领域</w:t>
      </w:r>
      <w:r>
        <w:rPr>
          <w:rFonts w:hint="default" w:ascii="Times New Roman" w:hAnsi="Times New Roman" w:cs="Times New Roman"/>
          <w:color w:val="000000" w:themeColor="text1"/>
          <w14:textFill>
            <w14:solidFill>
              <w14:schemeClr w14:val="tx1"/>
            </w14:solidFill>
          </w14:textFill>
        </w:rPr>
        <w:t>也具有一定发展优势。</w:t>
      </w:r>
    </w:p>
    <w:p w14:paraId="5B809E12">
      <w:pPr>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未来重点布局的软件领域。</w:t>
      </w:r>
      <w:r>
        <w:rPr>
          <w:rFonts w:hint="default" w:ascii="Times New Roman" w:hAnsi="Times New Roman" w:cs="Times New Roman"/>
          <w:color w:val="000000" w:themeColor="text1"/>
          <w14:textFill>
            <w14:solidFill>
              <w14:schemeClr w14:val="tx1"/>
            </w14:solidFill>
          </w14:textFill>
        </w:rPr>
        <w:t>布局</w:t>
      </w:r>
      <w:r>
        <w:rPr>
          <w:rFonts w:hint="default" w:ascii="Times New Roman" w:hAnsi="Times New Roman" w:cs="Times New Roman"/>
          <w:b/>
          <w:bCs/>
          <w:color w:val="000000" w:themeColor="text1"/>
          <w14:textFill>
            <w14:solidFill>
              <w14:schemeClr w14:val="tx1"/>
            </w14:solidFill>
          </w14:textFill>
        </w:rPr>
        <w:t>关键基础软件</w:t>
      </w:r>
      <w:r>
        <w:rPr>
          <w:rFonts w:hint="default" w:ascii="Times New Roman" w:hAnsi="Times New Roman" w:cs="Times New Roman"/>
          <w:color w:val="000000" w:themeColor="text1"/>
          <w14:textFill>
            <w14:solidFill>
              <w14:schemeClr w14:val="tx1"/>
            </w14:solidFill>
          </w14:textFill>
        </w:rPr>
        <w:t>，打造信创集聚高地，建设</w:t>
      </w:r>
      <w:r>
        <w:rPr>
          <w:rFonts w:hint="default" w:ascii="Times New Roman" w:hAnsi="Times New Roman" w:cs="Times New Roman"/>
          <w:b/>
          <w:bCs/>
          <w:color w:val="000000" w:themeColor="text1"/>
          <w14:textFill>
            <w14:solidFill>
              <w14:schemeClr w14:val="tx1"/>
            </w14:solidFill>
          </w14:textFill>
        </w:rPr>
        <w:t>开源生态</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b/>
          <w:bCs/>
          <w:color w:val="000000" w:themeColor="text1"/>
          <w14:textFill>
            <w14:solidFill>
              <w14:schemeClr w14:val="tx1"/>
            </w14:solidFill>
          </w14:textFill>
        </w:rPr>
        <w:t>在软件信息技术服务方面</w:t>
      </w:r>
      <w:r>
        <w:rPr>
          <w:rFonts w:hint="default" w:ascii="Times New Roman" w:hAnsi="Times New Roman" w:cs="Times New Roman"/>
          <w:color w:val="000000" w:themeColor="text1"/>
          <w14:textFill>
            <w14:solidFill>
              <w14:schemeClr w14:val="tx1"/>
            </w14:solidFill>
          </w14:textFill>
        </w:rPr>
        <w:t>，打造面向金融、电信、能源、物流、教育、生活等行业，培育特色信息技术服务生态。</w:t>
      </w:r>
      <w:r>
        <w:rPr>
          <w:rFonts w:hint="default" w:ascii="Times New Roman" w:hAnsi="Times New Roman" w:cs="Times New Roman"/>
          <w:b/>
          <w:bCs/>
          <w:color w:val="000000" w:themeColor="text1"/>
          <w14:textFill>
            <w14:solidFill>
              <w14:schemeClr w14:val="tx1"/>
            </w14:solidFill>
          </w14:textFill>
        </w:rPr>
        <w:t>在平台软件方面</w:t>
      </w:r>
      <w:r>
        <w:rPr>
          <w:rFonts w:hint="default" w:ascii="Times New Roman" w:hAnsi="Times New Roman" w:cs="Times New Roman"/>
          <w:color w:val="000000" w:themeColor="text1"/>
          <w14:textFill>
            <w14:solidFill>
              <w14:schemeClr w14:val="tx1"/>
            </w14:solidFill>
          </w14:textFill>
        </w:rPr>
        <w:t>，布局人工智能算法软件、区块链软件、平台云原生软件、联动发展智能网联汽车软件、突破集成电路设计EDA软件。</w:t>
      </w:r>
      <w:r>
        <w:rPr>
          <w:rFonts w:hint="default" w:ascii="Times New Roman" w:hAnsi="Times New Roman" w:cs="Times New Roman"/>
          <w:b/>
          <w:bCs/>
          <w:color w:val="000000" w:themeColor="text1"/>
          <w14:textFill>
            <w14:solidFill>
              <w14:schemeClr w14:val="tx1"/>
            </w14:solidFill>
          </w14:textFill>
        </w:rPr>
        <w:t>在软件赋能方面</w:t>
      </w:r>
      <w:r>
        <w:rPr>
          <w:rFonts w:hint="default" w:ascii="Times New Roman" w:hAnsi="Times New Roman" w:cs="Times New Roman"/>
          <w:color w:val="000000" w:themeColor="text1"/>
          <w14:textFill>
            <w14:solidFill>
              <w14:schemeClr w14:val="tx1"/>
            </w14:solidFill>
          </w14:textFill>
        </w:rPr>
        <w:t>，培育数字孪生软件、数字低碳软件、平台量子信息软件</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发展面向智能电网装备、轨道交通装备、信息通信设备的嵌入式软件；推动工业互联网平台、工业APP、智能制造新模式的发展。</w:t>
      </w:r>
    </w:p>
    <w:p w14:paraId="2DAEF5CD">
      <w:pPr>
        <w:keepNext w:val="0"/>
        <w:keepLines w:val="0"/>
        <w:pageBreakBefore w:val="0"/>
        <w:widowControl w:val="0"/>
        <w:kinsoku/>
        <w:wordWrap/>
        <w:overflowPunct/>
        <w:topLinePunct w:val="0"/>
        <w:autoSpaceDE/>
        <w:autoSpaceDN/>
        <w:bidi w:val="0"/>
        <w:adjustRightInd/>
        <w:snapToGrid/>
        <w:spacing w:line="620" w:lineRule="exact"/>
        <w:ind w:firstLine="643"/>
        <w:textAlignment w:val="auto"/>
        <w:outlineLvl w:val="2"/>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4.合肥市</w:t>
      </w:r>
    </w:p>
    <w:p w14:paraId="12C09218">
      <w:pPr>
        <w:pStyle w:val="2"/>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优势软件领域分析</w:t>
      </w:r>
      <w:r>
        <w:rPr>
          <w:rFonts w:hint="default" w:ascii="Times New Roman" w:hAnsi="Times New Roman" w:cs="Times New Roman"/>
          <w:color w:val="000000" w:themeColor="text1"/>
          <w14:textFill>
            <w14:solidFill>
              <w14:schemeClr w14:val="tx1"/>
            </w14:solidFill>
          </w14:textFill>
        </w:rPr>
        <w:t>。合肥市2021年规模以上软件企业372家，营收528.24亿元，成功培育科大讯飞、华米科技、继远软件、讯飞智元等一批本土软件企业，中国声谷、合肥软件园等软件产业平台不断发展壮大，全市初步形成了以</w:t>
      </w:r>
      <w:r>
        <w:rPr>
          <w:rFonts w:hint="default" w:ascii="Times New Roman" w:hAnsi="Times New Roman" w:cs="Times New Roman"/>
          <w:b/>
          <w:bCs/>
          <w:color w:val="000000" w:themeColor="text1"/>
          <w14:textFill>
            <w14:solidFill>
              <w14:schemeClr w14:val="tx1"/>
            </w14:solidFill>
          </w14:textFill>
        </w:rPr>
        <w:t>智能语音</w:t>
      </w:r>
      <w:r>
        <w:rPr>
          <w:rFonts w:hint="default" w:ascii="Times New Roman" w:hAnsi="Times New Roman" w:cs="Times New Roman"/>
          <w:color w:val="000000" w:themeColor="text1"/>
          <w14:textFill>
            <w14:solidFill>
              <w14:schemeClr w14:val="tx1"/>
            </w14:solidFill>
          </w14:textFill>
        </w:rPr>
        <w:t>及</w:t>
      </w:r>
      <w:r>
        <w:rPr>
          <w:rFonts w:hint="default" w:ascii="Times New Roman" w:hAnsi="Times New Roman" w:cs="Times New Roman"/>
          <w:b/>
          <w:bCs/>
          <w:color w:val="000000" w:themeColor="text1"/>
          <w14:textFill>
            <w14:solidFill>
              <w14:schemeClr w14:val="tx1"/>
            </w14:solidFill>
          </w14:textFill>
        </w:rPr>
        <w:t>人工智能</w:t>
      </w:r>
      <w:r>
        <w:rPr>
          <w:rFonts w:hint="default" w:ascii="Times New Roman" w:hAnsi="Times New Roman" w:cs="Times New Roman"/>
          <w:color w:val="000000" w:themeColor="text1"/>
          <w14:textFill>
            <w14:solidFill>
              <w14:schemeClr w14:val="tx1"/>
            </w14:solidFill>
          </w14:textFill>
        </w:rPr>
        <w:t>产业为引领，</w:t>
      </w:r>
      <w:r>
        <w:rPr>
          <w:rFonts w:hint="default" w:ascii="Times New Roman" w:hAnsi="Times New Roman" w:cs="Times New Roman"/>
          <w:b/>
          <w:bCs/>
          <w:color w:val="000000" w:themeColor="text1"/>
          <w14:textFill>
            <w14:solidFill>
              <w14:schemeClr w14:val="tx1"/>
            </w14:solidFill>
          </w14:textFill>
        </w:rPr>
        <w:t>智慧城市、集成电路设计、智能终端</w:t>
      </w:r>
      <w:r>
        <w:rPr>
          <w:rFonts w:hint="default" w:ascii="Times New Roman" w:hAnsi="Times New Roman" w:cs="Times New Roman"/>
          <w:color w:val="000000" w:themeColor="text1"/>
          <w14:textFill>
            <w14:solidFill>
              <w14:schemeClr w14:val="tx1"/>
            </w14:solidFill>
          </w14:textFill>
        </w:rPr>
        <w:t>等领域快速跟进的良好态势。其中中国声谷作为安徽省软件产业发展重大战略平台，在主导产业上，重点发展智能语音、集成电路等人工智能基础产业及智能家居、智能金融、智能教育、智能医疗、智能语音服务等人工智能应用领域；在空间布局上，打造“一核两区多园”的空间布局，“一核”：以科大讯飞公司为主的核心区；“两区”：孵化区和产业区，位于合肥高新区；“多园”：围绕重点应用领域，建设多个智能语音与人工智能特色鲜明的产业园；在支持政策上，出台《支持中国声谷创新发展若干政策和中国声谷创新发展三年行动计划（2021—2023年）》，为企业创新、产品推广、产业集聚提供资金保障。</w:t>
      </w:r>
    </w:p>
    <w:p w14:paraId="04ABD71F">
      <w:pPr>
        <w:pStyle w:val="3"/>
        <w:keepNext w:val="0"/>
        <w:keepLines w:val="0"/>
        <w:pageBreakBefore w:val="0"/>
        <w:widowControl w:val="0"/>
        <w:kinsoku/>
        <w:wordWrap/>
        <w:overflowPunct/>
        <w:topLinePunct w:val="0"/>
        <w:autoSpaceDE/>
        <w:autoSpaceDN/>
        <w:bidi w:val="0"/>
        <w:adjustRightInd/>
        <w:snapToGrid/>
        <w:spacing w:after="0" w:line="620" w:lineRule="exact"/>
        <w:ind w:left="0" w:leftChars="0"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未来重点布局的软件领域</w:t>
      </w:r>
      <w:r>
        <w:rPr>
          <w:rFonts w:hint="default" w:ascii="Times New Roman" w:hAnsi="Times New Roman" w:cs="Times New Roman"/>
          <w:color w:val="000000" w:themeColor="text1"/>
          <w14:textFill>
            <w14:solidFill>
              <w14:schemeClr w14:val="tx1"/>
            </w14:solidFill>
          </w14:textFill>
        </w:rPr>
        <w:t>。聚焦</w:t>
      </w:r>
      <w:r>
        <w:rPr>
          <w:rFonts w:hint="default" w:ascii="Times New Roman" w:hAnsi="Times New Roman" w:cs="Times New Roman"/>
          <w:b/>
          <w:bCs/>
          <w:color w:val="000000" w:themeColor="text1"/>
          <w14:textFill>
            <w14:solidFill>
              <w14:schemeClr w14:val="tx1"/>
            </w14:solidFill>
          </w14:textFill>
        </w:rPr>
        <w:t>智能语音、人工智能、嵌入式软件、集成电路设计</w:t>
      </w:r>
      <w:r>
        <w:rPr>
          <w:rFonts w:hint="default" w:ascii="Times New Roman" w:hAnsi="Times New Roman" w:cs="Times New Roman"/>
          <w:color w:val="000000" w:themeColor="text1"/>
          <w14:textFill>
            <w14:solidFill>
              <w14:schemeClr w14:val="tx1"/>
            </w14:solidFill>
          </w14:textFill>
        </w:rPr>
        <w:t>等优势领域持续发力，争取拥有核心知识产权；紧跟未来产业发展制高点，加快</w:t>
      </w:r>
      <w:r>
        <w:rPr>
          <w:rFonts w:hint="default" w:ascii="Times New Roman" w:hAnsi="Times New Roman" w:cs="Times New Roman"/>
          <w:b/>
          <w:bCs/>
          <w:color w:val="000000" w:themeColor="text1"/>
          <w14:textFill>
            <w14:solidFill>
              <w14:schemeClr w14:val="tx1"/>
            </w14:solidFill>
          </w14:textFill>
        </w:rPr>
        <w:t>自动驾驶、可信计算、VR/AR、量子通信</w:t>
      </w:r>
      <w:r>
        <w:rPr>
          <w:rFonts w:hint="default" w:ascii="Times New Roman" w:hAnsi="Times New Roman" w:cs="Times New Roman"/>
          <w:color w:val="000000" w:themeColor="text1"/>
          <w14:textFill>
            <w14:solidFill>
              <w14:schemeClr w14:val="tx1"/>
            </w14:solidFill>
          </w14:textFill>
        </w:rPr>
        <w:t>等前沿领域的技术研发和产业化布局；聚焦工业数字化发展需求，推进工业技术软件化，提升EDA、BIM、ERP等</w:t>
      </w:r>
      <w:r>
        <w:rPr>
          <w:rFonts w:hint="default" w:ascii="Times New Roman" w:hAnsi="Times New Roman" w:cs="Times New Roman"/>
          <w:b/>
          <w:bCs/>
          <w:color w:val="000000" w:themeColor="text1"/>
          <w14:textFill>
            <w14:solidFill>
              <w14:schemeClr w14:val="tx1"/>
            </w14:solidFill>
          </w14:textFill>
        </w:rPr>
        <w:t>工业应用软件</w:t>
      </w:r>
      <w:r>
        <w:rPr>
          <w:rFonts w:hint="default" w:ascii="Times New Roman" w:hAnsi="Times New Roman" w:cs="Times New Roman"/>
          <w:color w:val="000000" w:themeColor="text1"/>
          <w14:textFill>
            <w14:solidFill>
              <w14:schemeClr w14:val="tx1"/>
            </w14:solidFill>
          </w14:textFill>
        </w:rPr>
        <w:t>质量，开发工业互联网APP、工业互联网信息服务等产品。</w:t>
      </w:r>
    </w:p>
    <w:p w14:paraId="1F00ADA8">
      <w:pPr>
        <w:keepNext w:val="0"/>
        <w:keepLines w:val="0"/>
        <w:pageBreakBefore w:val="0"/>
        <w:widowControl w:val="0"/>
        <w:kinsoku/>
        <w:wordWrap/>
        <w:overflowPunct/>
        <w:topLinePunct w:val="0"/>
        <w:autoSpaceDE/>
        <w:autoSpaceDN/>
        <w:bidi w:val="0"/>
        <w:adjustRightInd/>
        <w:snapToGrid/>
        <w:spacing w:line="620" w:lineRule="exact"/>
        <w:ind w:firstLine="643"/>
        <w:textAlignment w:val="auto"/>
        <w:outlineLvl w:val="2"/>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5.马鞍山市</w:t>
      </w:r>
    </w:p>
    <w:p w14:paraId="5735268D">
      <w:pPr>
        <w:pStyle w:val="2"/>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优势软件领域分析</w:t>
      </w:r>
      <w:r>
        <w:rPr>
          <w:rFonts w:hint="default" w:ascii="Times New Roman" w:hAnsi="Times New Roman" w:cs="Times New Roman"/>
          <w:color w:val="000000" w:themeColor="text1"/>
          <w14:textFill>
            <w14:solidFill>
              <w14:schemeClr w14:val="tx1"/>
            </w14:solidFill>
          </w14:textFill>
        </w:rPr>
        <w:t>。马鞍山软件园2022年累计入驻企业1000余家，实现营收101.8亿元，同比增长31.69%，园区围绕</w:t>
      </w:r>
      <w:r>
        <w:rPr>
          <w:rFonts w:hint="default" w:ascii="Times New Roman" w:hAnsi="Times New Roman" w:cs="Times New Roman"/>
          <w:b/>
          <w:bCs/>
          <w:color w:val="000000" w:themeColor="text1"/>
          <w14:textFill>
            <w14:solidFill>
              <w14:schemeClr w14:val="tx1"/>
            </w14:solidFill>
          </w14:textFill>
        </w:rPr>
        <w:t>软件研发、互联网+、地理信息、服务外包</w:t>
      </w:r>
      <w:r>
        <w:rPr>
          <w:rFonts w:hint="default" w:ascii="Times New Roman" w:hAnsi="Times New Roman" w:cs="Times New Roman"/>
          <w:color w:val="000000" w:themeColor="text1"/>
          <w14:textFill>
            <w14:solidFill>
              <w14:schemeClr w14:val="tx1"/>
            </w14:solidFill>
          </w14:textFill>
        </w:rPr>
        <w:t>四大主导产业开展培优育强工作，涌现百助、东华、华拓等一批年产值过亿元龙头企业。</w:t>
      </w:r>
      <w:r>
        <w:rPr>
          <w:rFonts w:hint="default" w:ascii="Times New Roman" w:hAnsi="Times New Roman" w:cs="Times New Roman"/>
          <w:b/>
          <w:bCs/>
          <w:color w:val="000000" w:themeColor="text1"/>
          <w14:textFill>
            <w14:solidFill>
              <w14:schemeClr w14:val="tx1"/>
            </w14:solidFill>
          </w14:textFill>
        </w:rPr>
        <w:t>在园区运营管理方面，注重对接长三角软件产业先发城市平台、园区</w:t>
      </w:r>
      <w:r>
        <w:rPr>
          <w:rFonts w:hint="default" w:ascii="Times New Roman" w:hAnsi="Times New Roman" w:cs="Times New Roman"/>
          <w:color w:val="000000" w:themeColor="text1"/>
          <w14:textFill>
            <w14:solidFill>
              <w14:schemeClr w14:val="tx1"/>
            </w14:solidFill>
          </w14:textFill>
        </w:rPr>
        <w:t>，与江苏邦宁、南京酷立方等专业园区运营平台合作，共建邦宁电子信息产业园、邦宁数字经济产业园、酷立方智能服务外包产业园等品牌分园，与江苏软件园签订合作框架协议，与上海虹桥临空经济园区签订合作意向书，深入推进与长三角城市群软件产业链接、资源互通、要素流通。</w:t>
      </w:r>
      <w:r>
        <w:rPr>
          <w:rFonts w:hint="default" w:ascii="Times New Roman" w:hAnsi="Times New Roman" w:cs="Times New Roman"/>
          <w:b/>
          <w:bCs/>
          <w:color w:val="000000" w:themeColor="text1"/>
          <w14:textFill>
            <w14:solidFill>
              <w14:schemeClr w14:val="tx1"/>
            </w14:solidFill>
          </w14:textFill>
        </w:rPr>
        <w:t>在园区服务方面，注重政策支持、人才引培</w:t>
      </w:r>
      <w:r>
        <w:rPr>
          <w:rFonts w:hint="default" w:ascii="Times New Roman" w:hAnsi="Times New Roman" w:cs="Times New Roman"/>
          <w:color w:val="000000" w:themeColor="text1"/>
          <w14:textFill>
            <w14:solidFill>
              <w14:schemeClr w14:val="tx1"/>
            </w14:solidFill>
          </w14:textFill>
        </w:rPr>
        <w:t>。出台《花山区软件互联网产业集群（基地）中小微企业扶持政策（试行）》，加大对软件研发、互联网+、服务外包、地理信息、工业互联网等产业支持力度。在产业集群内积极实施高层次人才引进“龙马”工程，青年人才引进“骏马”工程、柔性人才引进“驿马”工程和本土人才培养“1221”工程、人才能力提升工程，持续加强职业教育、实习实训、职业技能培训和鉴定，提高园区工作者职业素养。</w:t>
      </w:r>
    </w:p>
    <w:p w14:paraId="50A64761">
      <w:pPr>
        <w:pStyle w:val="3"/>
        <w:keepNext w:val="0"/>
        <w:keepLines w:val="0"/>
        <w:pageBreakBefore w:val="0"/>
        <w:widowControl w:val="0"/>
        <w:kinsoku/>
        <w:wordWrap/>
        <w:overflowPunct/>
        <w:topLinePunct w:val="0"/>
        <w:autoSpaceDE/>
        <w:autoSpaceDN/>
        <w:bidi w:val="0"/>
        <w:adjustRightInd/>
        <w:snapToGrid/>
        <w:spacing w:after="0" w:line="620" w:lineRule="exact"/>
        <w:ind w:left="0" w:leftChars="0"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未来重点布局的软件领域</w:t>
      </w:r>
      <w:r>
        <w:rPr>
          <w:rFonts w:hint="default" w:ascii="Times New Roman" w:hAnsi="Times New Roman" w:cs="Times New Roman"/>
          <w:color w:val="000000" w:themeColor="text1"/>
          <w14:textFill>
            <w14:solidFill>
              <w14:schemeClr w14:val="tx1"/>
            </w14:solidFill>
          </w14:textFill>
        </w:rPr>
        <w:t>。依托马鞍山软件园“一园一品”布局，在主园区重点发展</w:t>
      </w:r>
      <w:r>
        <w:rPr>
          <w:rFonts w:hint="default" w:ascii="Times New Roman" w:hAnsi="Times New Roman" w:cs="Times New Roman"/>
          <w:b/>
          <w:bCs/>
          <w:color w:val="000000" w:themeColor="text1"/>
          <w14:textFill>
            <w14:solidFill>
              <w14:schemeClr w14:val="tx1"/>
            </w14:solidFill>
          </w14:textFill>
        </w:rPr>
        <w:t>核心基础软件、共性支撑软件、工业软件、网络信息安全软件研发、服务外包、“互联网+”</w:t>
      </w:r>
      <w:r>
        <w:rPr>
          <w:rFonts w:hint="default" w:ascii="Times New Roman" w:hAnsi="Times New Roman" w:cs="Times New Roman"/>
          <w:color w:val="000000" w:themeColor="text1"/>
          <w14:textFill>
            <w14:solidFill>
              <w14:schemeClr w14:val="tx1"/>
            </w14:solidFill>
          </w14:textFill>
        </w:rPr>
        <w:t>领域；在绿意分园区重点发展</w:t>
      </w:r>
      <w:r>
        <w:rPr>
          <w:rFonts w:hint="default" w:ascii="Times New Roman" w:hAnsi="Times New Roman" w:cs="Times New Roman"/>
          <w:b/>
          <w:bCs/>
          <w:color w:val="000000" w:themeColor="text1"/>
          <w14:textFill>
            <w14:solidFill>
              <w14:schemeClr w14:val="tx1"/>
            </w14:solidFill>
          </w14:textFill>
        </w:rPr>
        <w:t>地理信息</w:t>
      </w:r>
      <w:r>
        <w:rPr>
          <w:rFonts w:hint="default" w:ascii="Times New Roman" w:hAnsi="Times New Roman" w:cs="Times New Roman"/>
          <w:color w:val="000000" w:themeColor="text1"/>
          <w14:textFill>
            <w14:solidFill>
              <w14:schemeClr w14:val="tx1"/>
            </w14:solidFill>
          </w14:textFill>
        </w:rPr>
        <w:t>领域；在银江分园区重点发展</w:t>
      </w:r>
      <w:r>
        <w:rPr>
          <w:rFonts w:hint="default" w:ascii="Times New Roman" w:hAnsi="Times New Roman" w:cs="Times New Roman"/>
          <w:b/>
          <w:bCs/>
          <w:color w:val="000000" w:themeColor="text1"/>
          <w14:textFill>
            <w14:solidFill>
              <w14:schemeClr w14:val="tx1"/>
            </w14:solidFill>
          </w14:textFill>
        </w:rPr>
        <w:t>电子信息、“互联网+环保”</w:t>
      </w:r>
      <w:r>
        <w:rPr>
          <w:rFonts w:hint="default" w:ascii="Times New Roman" w:hAnsi="Times New Roman" w:cs="Times New Roman"/>
          <w:color w:val="000000" w:themeColor="text1"/>
          <w14:textFill>
            <w14:solidFill>
              <w14:schemeClr w14:val="tx1"/>
            </w14:solidFill>
          </w14:textFill>
        </w:rPr>
        <w:t>领域；在晟峰分园区重点发展</w:t>
      </w:r>
      <w:r>
        <w:rPr>
          <w:rFonts w:hint="default" w:ascii="Times New Roman" w:hAnsi="Times New Roman" w:cs="Times New Roman"/>
          <w:b/>
          <w:bCs/>
          <w:color w:val="000000" w:themeColor="text1"/>
          <w14:textFill>
            <w14:solidFill>
              <w14:schemeClr w14:val="tx1"/>
            </w14:solidFill>
          </w14:textFill>
        </w:rPr>
        <w:t>服务外包</w:t>
      </w:r>
      <w:r>
        <w:rPr>
          <w:rFonts w:hint="default" w:ascii="Times New Roman" w:hAnsi="Times New Roman" w:cs="Times New Roman"/>
          <w:color w:val="000000" w:themeColor="text1"/>
          <w14:textFill>
            <w14:solidFill>
              <w14:schemeClr w14:val="tx1"/>
            </w14:solidFill>
          </w14:textFill>
        </w:rPr>
        <w:t>领域；在榕基分园区重点发展</w:t>
      </w:r>
      <w:r>
        <w:rPr>
          <w:rFonts w:hint="default" w:ascii="Times New Roman" w:hAnsi="Times New Roman" w:cs="Times New Roman"/>
          <w:b/>
          <w:bCs/>
          <w:color w:val="000000" w:themeColor="text1"/>
          <w14:textFill>
            <w14:solidFill>
              <w14:schemeClr w14:val="tx1"/>
            </w14:solidFill>
          </w14:textFill>
        </w:rPr>
        <w:t>“互联网+医疗大健康”</w:t>
      </w:r>
      <w:r>
        <w:rPr>
          <w:rFonts w:hint="default" w:ascii="Times New Roman" w:hAnsi="Times New Roman" w:cs="Times New Roman"/>
          <w:color w:val="000000" w:themeColor="text1"/>
          <w14:textFill>
            <w14:solidFill>
              <w14:schemeClr w14:val="tx1"/>
            </w14:solidFill>
          </w14:textFill>
        </w:rPr>
        <w:t>领域；在爱普分园区重点发展</w:t>
      </w:r>
      <w:r>
        <w:rPr>
          <w:rFonts w:hint="default" w:ascii="Times New Roman" w:hAnsi="Times New Roman" w:cs="Times New Roman"/>
          <w:b/>
          <w:bCs/>
          <w:color w:val="000000" w:themeColor="text1"/>
          <w14:textFill>
            <w14:solidFill>
              <w14:schemeClr w14:val="tx1"/>
            </w14:solidFill>
          </w14:textFill>
        </w:rPr>
        <w:t>数字经济</w:t>
      </w:r>
      <w:r>
        <w:rPr>
          <w:rFonts w:hint="default" w:ascii="Times New Roman" w:hAnsi="Times New Roman" w:cs="Times New Roman"/>
          <w:color w:val="000000" w:themeColor="text1"/>
          <w14:textFill>
            <w14:solidFill>
              <w14:schemeClr w14:val="tx1"/>
            </w14:solidFill>
          </w14:textFill>
        </w:rPr>
        <w:t>领域。</w:t>
      </w:r>
    </w:p>
    <w:p w14:paraId="24B7A1CF">
      <w:pPr>
        <w:keepNext w:val="0"/>
        <w:keepLines w:val="0"/>
        <w:pageBreakBefore w:val="0"/>
        <w:widowControl w:val="0"/>
        <w:kinsoku/>
        <w:wordWrap/>
        <w:overflowPunct/>
        <w:topLinePunct w:val="0"/>
        <w:autoSpaceDE/>
        <w:autoSpaceDN/>
        <w:bidi w:val="0"/>
        <w:adjustRightInd/>
        <w:snapToGrid/>
        <w:spacing w:line="620" w:lineRule="exact"/>
        <w:ind w:firstLine="643"/>
        <w:textAlignment w:val="auto"/>
        <w:outlineLvl w:val="2"/>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6.芜湖市</w:t>
      </w:r>
    </w:p>
    <w:p w14:paraId="7C0572DD">
      <w:pPr>
        <w:pStyle w:val="2"/>
        <w:keepNext w:val="0"/>
        <w:keepLines w:val="0"/>
        <w:pageBreakBefore w:val="0"/>
        <w:widowControl w:val="0"/>
        <w:kinsoku/>
        <w:wordWrap/>
        <w:overflowPunct/>
        <w:topLinePunct w:val="0"/>
        <w:autoSpaceDE/>
        <w:autoSpaceDN/>
        <w:bidi w:val="0"/>
        <w:adjustRightInd/>
        <w:snapToGrid/>
        <w:spacing w:line="620" w:lineRule="exact"/>
        <w:ind w:firstLine="643"/>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优势软件领域分析</w:t>
      </w:r>
      <w:r>
        <w:rPr>
          <w:rFonts w:hint="default" w:ascii="Times New Roman" w:hAnsi="Times New Roman" w:cs="Times New Roman"/>
          <w:color w:val="000000" w:themeColor="text1"/>
          <w14:textFill>
            <w14:solidFill>
              <w14:schemeClr w14:val="tx1"/>
            </w14:solidFill>
          </w14:textFill>
        </w:rPr>
        <w:t>。芜湖市获批国家级动漫基地、国家数字出版基地（芜湖）园区，在</w:t>
      </w:r>
      <w:r>
        <w:rPr>
          <w:rFonts w:hint="default" w:ascii="Times New Roman" w:hAnsi="Times New Roman" w:cs="Times New Roman"/>
          <w:b/>
          <w:bCs/>
          <w:color w:val="000000" w:themeColor="text1"/>
          <w14:textFill>
            <w14:solidFill>
              <w14:schemeClr w14:val="tx1"/>
            </w14:solidFill>
          </w14:textFill>
        </w:rPr>
        <w:t>动漫游戏、数字出版、云计算、大数据、工业互联网</w:t>
      </w:r>
      <w:r>
        <w:rPr>
          <w:rFonts w:hint="default" w:ascii="Times New Roman" w:hAnsi="Times New Roman" w:cs="Times New Roman"/>
          <w:color w:val="000000" w:themeColor="text1"/>
          <w14:textFill>
            <w14:solidFill>
              <w14:schemeClr w14:val="tx1"/>
            </w14:solidFill>
          </w14:textFill>
        </w:rPr>
        <w:t>等领域具备比较优势。市内本土企业三七互娱入选全国互联网行业百强，松鼠娱乐、叠纸科技等企业影响力不断提升。</w:t>
      </w:r>
    </w:p>
    <w:p w14:paraId="2A92C251">
      <w:pPr>
        <w:pStyle w:val="3"/>
        <w:keepNext w:val="0"/>
        <w:keepLines w:val="0"/>
        <w:pageBreakBefore w:val="0"/>
        <w:widowControl w:val="0"/>
        <w:kinsoku/>
        <w:wordWrap/>
        <w:overflowPunct/>
        <w:topLinePunct w:val="0"/>
        <w:autoSpaceDE/>
        <w:autoSpaceDN/>
        <w:bidi w:val="0"/>
        <w:adjustRightInd/>
        <w:snapToGrid/>
        <w:spacing w:after="0" w:line="620" w:lineRule="exact"/>
        <w:ind w:left="0" w:leftChars="0" w:firstLine="643"/>
        <w:textAlignment w:val="auto"/>
        <w:rPr>
          <w:rFonts w:hint="default" w:ascii="Times New Roman" w:hAnsi="Times New Roman" w:cs="Times New Roman"/>
          <w:color w:val="000000" w:themeColor="text1"/>
          <w14:textFill>
            <w14:solidFill>
              <w14:schemeClr w14:val="tx1"/>
            </w14:solidFill>
          </w14:textFill>
        </w:rPr>
        <w:sectPr>
          <w:pgSz w:w="11906" w:h="16838"/>
          <w:pgMar w:top="2098" w:right="1474" w:bottom="1984" w:left="1587" w:header="851" w:footer="992" w:gutter="0"/>
          <w:cols w:space="425" w:num="1"/>
          <w:docGrid w:type="lines" w:linePitch="312" w:charSpace="0"/>
        </w:sectPr>
      </w:pPr>
      <w:r>
        <w:rPr>
          <w:rFonts w:hint="default" w:ascii="Times New Roman" w:hAnsi="Times New Roman" w:cs="Times New Roman"/>
          <w:b/>
          <w:bCs/>
          <w:color w:val="000000" w:themeColor="text1"/>
          <w14:textFill>
            <w14:solidFill>
              <w14:schemeClr w14:val="tx1"/>
            </w14:solidFill>
          </w14:textFill>
        </w:rPr>
        <w:t>未来重点布局的软件领域</w:t>
      </w:r>
      <w:r>
        <w:rPr>
          <w:rFonts w:hint="default" w:ascii="Times New Roman" w:hAnsi="Times New Roman" w:cs="Times New Roman"/>
          <w:color w:val="000000" w:themeColor="text1"/>
          <w14:textFill>
            <w14:solidFill>
              <w14:schemeClr w14:val="tx1"/>
            </w14:solidFill>
          </w14:textFill>
        </w:rPr>
        <w:t>。重点发展</w:t>
      </w:r>
      <w:r>
        <w:rPr>
          <w:rFonts w:hint="default" w:ascii="Times New Roman" w:hAnsi="Times New Roman" w:cs="Times New Roman"/>
          <w:b/>
          <w:bCs/>
          <w:color w:val="000000" w:themeColor="text1"/>
          <w14:textFill>
            <w14:solidFill>
              <w14:schemeClr w14:val="tx1"/>
            </w14:solidFill>
          </w14:textFill>
        </w:rPr>
        <w:t>大数据</w:t>
      </w:r>
      <w:r>
        <w:rPr>
          <w:rFonts w:hint="default" w:ascii="Times New Roman" w:hAnsi="Times New Roman" w:cs="Times New Roman"/>
          <w:color w:val="000000" w:themeColor="text1"/>
          <w14:textFill>
            <w14:solidFill>
              <w14:schemeClr w14:val="tx1"/>
            </w14:solidFill>
          </w14:textFill>
        </w:rPr>
        <w:t>，全力推进全国一体化算力网络国家枢纽节点长三角节点（安徽）、长三角“数据湖”、生物应用大数据支撑中心、智慧南陵数据中心等平台建设推动大数据产业发展。突破发展</w:t>
      </w:r>
      <w:r>
        <w:rPr>
          <w:rFonts w:hint="default" w:ascii="Times New Roman" w:hAnsi="Times New Roman" w:cs="Times New Roman"/>
          <w:b/>
          <w:bCs/>
          <w:color w:val="000000" w:themeColor="text1"/>
          <w14:textFill>
            <w14:solidFill>
              <w14:schemeClr w14:val="tx1"/>
            </w14:solidFill>
          </w14:textFill>
        </w:rPr>
        <w:t>工业云服务</w:t>
      </w:r>
      <w:r>
        <w:rPr>
          <w:rFonts w:hint="default" w:ascii="Times New Roman" w:hAnsi="Times New Roman" w:cs="Times New Roman"/>
          <w:color w:val="000000" w:themeColor="text1"/>
          <w14:textFill>
            <w14:solidFill>
              <w14:schemeClr w14:val="tx1"/>
            </w14:solidFill>
          </w14:textFill>
        </w:rPr>
        <w:t>，聚焦汽车操作系统、汽车声场和流场计算CAE软件、计算光刻EDA软件、供应链信息共享ERP软件等领域，构建面向行业的工业软件云服务平台。创新发展</w:t>
      </w:r>
      <w:r>
        <w:rPr>
          <w:rFonts w:hint="default" w:ascii="Times New Roman" w:hAnsi="Times New Roman" w:cs="Times New Roman"/>
          <w:b/>
          <w:bCs/>
          <w:color w:val="000000" w:themeColor="text1"/>
          <w14:textFill>
            <w14:solidFill>
              <w14:schemeClr w14:val="tx1"/>
            </w14:solidFill>
          </w14:textFill>
        </w:rPr>
        <w:t>工业互联网</w:t>
      </w:r>
      <w:r>
        <w:rPr>
          <w:rFonts w:hint="default" w:ascii="Times New Roman" w:hAnsi="Times New Roman" w:cs="Times New Roman"/>
          <w:color w:val="000000" w:themeColor="text1"/>
          <w14:textFill>
            <w14:solidFill>
              <w14:schemeClr w14:val="tx1"/>
            </w14:solidFill>
          </w14:textFill>
        </w:rPr>
        <w:t>，建设工业互联网产业园，突破数据集成和边缘处理、工业数据建模与分析等关键共性技术，构建工业互联网标识解析系统与企业级对象标识解析系统。</w:t>
      </w:r>
    </w:p>
    <w:p w14:paraId="1CAA3440">
      <w:pPr>
        <w:pStyle w:val="4"/>
        <w:pageBreakBefore w:val="0"/>
        <w:widowControl w:val="0"/>
        <w:kinsoku/>
        <w:wordWrap/>
        <w:overflowPunct/>
        <w:topLinePunct w:val="0"/>
        <w:autoSpaceDE/>
        <w:autoSpaceDN/>
        <w:bidi w:val="0"/>
        <w:adjustRightInd/>
        <w:snapToGrid/>
        <w:ind w:firstLine="643"/>
        <w:textAlignment w:val="auto"/>
        <w:rPr>
          <w:rFonts w:hint="default" w:ascii="Times New Roman" w:hAnsi="Times New Roman" w:cs="Times New Roman"/>
          <w:color w:val="000000" w:themeColor="text1"/>
          <w14:textFill>
            <w14:solidFill>
              <w14:schemeClr w14:val="tx1"/>
            </w14:solidFill>
          </w14:textFill>
        </w:rPr>
      </w:pPr>
      <w:bookmarkStart w:id="88" w:name="_Toc18201"/>
      <w:bookmarkStart w:id="89" w:name="_Toc6011"/>
      <w:r>
        <w:rPr>
          <w:rFonts w:hint="default" w:ascii="Times New Roman" w:hAnsi="Times New Roman" w:eastAsia="楷体_GB2312" w:cs="Times New Roman"/>
          <w:b/>
          <w:color w:val="000000" w:themeColor="text1"/>
          <w:kern w:val="2"/>
          <w:szCs w:val="24"/>
          <w14:textFill>
            <w14:solidFill>
              <w14:schemeClr w14:val="tx1"/>
            </w14:solidFill>
          </w14:textFill>
        </w:rPr>
        <w:t>（</w:t>
      </w:r>
      <w:r>
        <w:rPr>
          <w:rFonts w:hint="default" w:ascii="Times New Roman" w:hAnsi="Times New Roman" w:eastAsia="楷体_GB2312" w:cs="Times New Roman"/>
          <w:b/>
          <w:color w:val="000000" w:themeColor="text1"/>
          <w:kern w:val="2"/>
          <w:szCs w:val="24"/>
          <w:lang w:val="en-US" w:eastAsia="zh-CN"/>
          <w14:textFill>
            <w14:solidFill>
              <w14:schemeClr w14:val="tx1"/>
            </w14:solidFill>
          </w14:textFill>
        </w:rPr>
        <w:t>四</w:t>
      </w:r>
      <w:r>
        <w:rPr>
          <w:rFonts w:hint="default" w:ascii="Times New Roman" w:hAnsi="Times New Roman" w:eastAsia="楷体_GB2312" w:cs="Times New Roman"/>
          <w:b/>
          <w:color w:val="000000" w:themeColor="text1"/>
          <w:kern w:val="2"/>
          <w:szCs w:val="24"/>
          <w14:textFill>
            <w14:solidFill>
              <w14:schemeClr w14:val="tx1"/>
            </w14:solidFill>
          </w14:textFill>
        </w:rPr>
        <w:t>）黄山市软件产业招商目标企业</w:t>
      </w:r>
      <w:bookmarkEnd w:id="88"/>
      <w:bookmarkEnd w:id="89"/>
    </w:p>
    <w:p w14:paraId="6A016BF5">
      <w:pPr>
        <w:pageBreakBefore w:val="0"/>
        <w:widowControl w:val="0"/>
        <w:kinsoku/>
        <w:wordWrap/>
        <w:overflowPunct/>
        <w:topLinePunct w:val="0"/>
        <w:autoSpaceDE/>
        <w:autoSpaceDN/>
        <w:bidi w:val="0"/>
        <w:adjustRightInd/>
        <w:snapToGrid/>
        <w:ind w:firstLine="640"/>
        <w:textAlignment w:val="auto"/>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根据企业对外布局活跃度、软件著作权数量、企业盈利能力等指标筛选出一批有扩张倾向的优质软件企业，供园区招商参考。</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1531"/>
        <w:gridCol w:w="2536"/>
        <w:gridCol w:w="1201"/>
        <w:gridCol w:w="2220"/>
        <w:gridCol w:w="2953"/>
        <w:gridCol w:w="2231"/>
      </w:tblGrid>
      <w:tr w14:paraId="383C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098C30C4">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细分领域</w:t>
            </w:r>
          </w:p>
        </w:tc>
        <w:tc>
          <w:tcPr>
            <w:tcW w:w="547" w:type="pct"/>
            <w:vAlign w:val="center"/>
          </w:tcPr>
          <w:p w14:paraId="77955D0A">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企业名称</w:t>
            </w:r>
          </w:p>
        </w:tc>
        <w:tc>
          <w:tcPr>
            <w:tcW w:w="906" w:type="pct"/>
            <w:vAlign w:val="center"/>
          </w:tcPr>
          <w:p w14:paraId="3EDF3BDA">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主营业务</w:t>
            </w:r>
          </w:p>
        </w:tc>
        <w:tc>
          <w:tcPr>
            <w:tcW w:w="429" w:type="pct"/>
            <w:vAlign w:val="center"/>
          </w:tcPr>
          <w:p w14:paraId="68F83888">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所在</w:t>
            </w:r>
          </w:p>
          <w:p w14:paraId="720BC4B2">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区域</w:t>
            </w:r>
          </w:p>
        </w:tc>
        <w:tc>
          <w:tcPr>
            <w:tcW w:w="793" w:type="pct"/>
            <w:vAlign w:val="center"/>
          </w:tcPr>
          <w:p w14:paraId="764CB240">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招引原因</w:t>
            </w:r>
          </w:p>
        </w:tc>
        <w:tc>
          <w:tcPr>
            <w:tcW w:w="1055" w:type="pct"/>
            <w:vAlign w:val="center"/>
          </w:tcPr>
          <w:p w14:paraId="6BCEDA7D">
            <w:pPr>
              <w:spacing w:line="240" w:lineRule="auto"/>
              <w:ind w:firstLine="0" w:firstLineChars="0"/>
              <w:jc w:val="center"/>
              <w:rPr>
                <w:rFonts w:hint="default" w:ascii="Times New Roman" w:hAnsi="Times New Roman" w:eastAsia="仿宋_GB2312" w:cs="Times New Roman"/>
                <w:b/>
                <w:bCs/>
                <w:color w:val="000000" w:themeColor="text1"/>
                <w:sz w:val="24"/>
                <w:szCs w:val="21"/>
                <w:lang w:val="en-US" w:eastAsia="zh-CN"/>
                <w14:textFill>
                  <w14:solidFill>
                    <w14:schemeClr w14:val="tx1"/>
                  </w14:solidFill>
                </w14:textFill>
              </w:rPr>
            </w:pPr>
            <w:r>
              <w:rPr>
                <w:rFonts w:hint="default" w:ascii="Times New Roman" w:hAnsi="Times New Roman" w:cs="Times New Roman"/>
                <w:b/>
                <w:bCs/>
                <w:color w:val="000000" w:themeColor="text1"/>
                <w:sz w:val="24"/>
                <w:szCs w:val="21"/>
                <w:lang w:val="en-US" w:eastAsia="zh-CN"/>
                <w14:textFill>
                  <w14:solidFill>
                    <w14:schemeClr w14:val="tx1"/>
                  </w14:solidFill>
                </w14:textFill>
              </w:rPr>
              <w:t>重点招引方向</w:t>
            </w:r>
          </w:p>
        </w:tc>
        <w:tc>
          <w:tcPr>
            <w:tcW w:w="797" w:type="pct"/>
            <w:vAlign w:val="center"/>
          </w:tcPr>
          <w:p w14:paraId="5D59C07A">
            <w:pPr>
              <w:spacing w:line="240" w:lineRule="auto"/>
              <w:ind w:firstLine="0" w:firstLineChars="0"/>
              <w:jc w:val="center"/>
              <w:rPr>
                <w:rFonts w:hint="default" w:ascii="Times New Roman" w:hAnsi="Times New Roman" w:eastAsia="仿宋_GB2312" w:cs="Times New Roman"/>
                <w:b/>
                <w:bCs/>
                <w:color w:val="000000" w:themeColor="text1"/>
                <w:sz w:val="24"/>
                <w:szCs w:val="21"/>
                <w:lang w:val="en-US" w:eastAsia="zh-CN"/>
                <w14:textFill>
                  <w14:solidFill>
                    <w14:schemeClr w14:val="tx1"/>
                  </w14:solidFill>
                </w14:textFill>
              </w:rPr>
            </w:pPr>
            <w:r>
              <w:rPr>
                <w:rFonts w:hint="default" w:ascii="Times New Roman" w:hAnsi="Times New Roman" w:cs="Times New Roman"/>
                <w:b/>
                <w:bCs/>
                <w:color w:val="000000" w:themeColor="text1"/>
                <w:sz w:val="24"/>
                <w:szCs w:val="21"/>
                <w:lang w:val="en-US" w:eastAsia="zh-CN"/>
                <w14:textFill>
                  <w14:solidFill>
                    <w14:schemeClr w14:val="tx1"/>
                  </w14:solidFill>
                </w14:textFill>
              </w:rPr>
              <w:t>招引路径</w:t>
            </w:r>
          </w:p>
        </w:tc>
      </w:tr>
      <w:tr w14:paraId="2D34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70" w:type="pct"/>
            <w:vAlign w:val="center"/>
          </w:tcPr>
          <w:p w14:paraId="0DC2A5C8">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智慧旅游</w:t>
            </w:r>
          </w:p>
        </w:tc>
        <w:tc>
          <w:tcPr>
            <w:tcW w:w="547" w:type="pct"/>
            <w:vAlign w:val="center"/>
          </w:tcPr>
          <w:p w14:paraId="6CCFA78A">
            <w:pPr>
              <w:spacing w:line="240" w:lineRule="auto"/>
              <w:ind w:firstLine="0" w:firstLineChars="0"/>
              <w:jc w:val="center"/>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阿里巴巴集团控股有限公司</w:t>
            </w:r>
          </w:p>
        </w:tc>
        <w:tc>
          <w:tcPr>
            <w:tcW w:w="906" w:type="pct"/>
            <w:vAlign w:val="center"/>
          </w:tcPr>
          <w:p w14:paraId="1D790014">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综合型信息服务企业。</w:t>
            </w:r>
          </w:p>
        </w:tc>
        <w:tc>
          <w:tcPr>
            <w:tcW w:w="429" w:type="pct"/>
            <w:vAlign w:val="center"/>
          </w:tcPr>
          <w:p w14:paraId="75B2C025">
            <w:pPr>
              <w:spacing w:line="240" w:lineRule="auto"/>
              <w:ind w:firstLine="0" w:firstLineChars="0"/>
              <w:jc w:val="center"/>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浙江省杭州市</w:t>
            </w:r>
          </w:p>
        </w:tc>
        <w:tc>
          <w:tcPr>
            <w:tcW w:w="793" w:type="pct"/>
            <w:vAlign w:val="center"/>
          </w:tcPr>
          <w:p w14:paraId="231A9CE8">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黄山市与阿里巴巴具备战略合作基础，可争取来黄山设立子公司，将智慧文旅、智慧商业、数字治理等领域合作谋深做实。</w:t>
            </w:r>
          </w:p>
        </w:tc>
        <w:tc>
          <w:tcPr>
            <w:tcW w:w="1055" w:type="pct"/>
            <w:vAlign w:val="center"/>
          </w:tcPr>
          <w:p w14:paraId="27EF06DF">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1.景区智慧化改造</w:t>
            </w:r>
            <w:r>
              <w:rPr>
                <w:rFonts w:hint="default" w:ascii="Times New Roman" w:hAnsi="Times New Roman" w:cs="Times New Roman"/>
                <w:color w:val="000000" w:themeColor="text1"/>
                <w:sz w:val="24"/>
                <w:szCs w:val="21"/>
                <w:lang w:val="en-US" w:eastAsia="zh-CN"/>
                <w14:textFill>
                  <w14:solidFill>
                    <w14:schemeClr w14:val="tx1"/>
                  </w14:solidFill>
                </w14:textFill>
              </w:rPr>
              <w:t>领域</w:t>
            </w:r>
            <w:r>
              <w:rPr>
                <w:rFonts w:hint="default" w:ascii="Times New Roman" w:hAnsi="Times New Roman" w:cs="Times New Roman"/>
                <w:color w:val="000000" w:themeColor="text1"/>
                <w:sz w:val="24"/>
                <w:szCs w:val="21"/>
                <w14:textFill>
                  <w14:solidFill>
                    <w14:schemeClr w14:val="tx1"/>
                  </w14:solidFill>
                </w14:textFill>
              </w:rPr>
              <w:t>，包括停车场、指示牌等基础设施智慧化改造，搭建囊括游客监测数据、商户监测数据、舆情数据等数据中台。</w:t>
            </w:r>
          </w:p>
          <w:p w14:paraId="471B14D5">
            <w:pPr>
              <w:pStyle w:val="2"/>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2.智慧旅游服务软件开发，如智慧导览、互动体验等APP。</w:t>
            </w:r>
          </w:p>
          <w:p w14:paraId="7192C902">
            <w:pPr>
              <w:pStyle w:val="2"/>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3.智慧旅游管理类软件开发，如景区安全预警、智慧分流等软件。</w:t>
            </w:r>
          </w:p>
        </w:tc>
        <w:tc>
          <w:tcPr>
            <w:tcW w:w="797" w:type="pct"/>
            <w:vMerge w:val="restart"/>
            <w:vAlign w:val="center"/>
          </w:tcPr>
          <w:p w14:paraId="0B16CBAB">
            <w:pPr>
              <w:pStyle w:val="2"/>
              <w:spacing w:line="240" w:lineRule="auto"/>
              <w:ind w:firstLine="0" w:firstLineChars="0"/>
              <w:jc w:val="both"/>
              <w:rPr>
                <w:rFonts w:hint="default" w:ascii="Times New Roman" w:hAnsi="Times New Roman" w:eastAsia="仿宋_GB2312" w:cs="Times New Roman"/>
                <w:color w:val="000000" w:themeColor="text1"/>
                <w:sz w:val="24"/>
                <w:szCs w:val="21"/>
                <w:lang w:eastAsia="zh-CN"/>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聚焦智慧旅游领域，加强整合全市旅游资源信息，以旅游数据资源吸引智慧旅游服务类、管理类、营销类软件企业落户；</w:t>
            </w:r>
            <w:r>
              <w:rPr>
                <w:rFonts w:hint="default" w:ascii="Times New Roman" w:hAnsi="Times New Roman" w:cs="Times New Roman"/>
                <w:color w:val="000000" w:themeColor="text1"/>
                <w:sz w:val="24"/>
                <w:szCs w:val="21"/>
                <w:lang w:val="en-US" w:eastAsia="zh-CN"/>
                <w14:textFill>
                  <w14:solidFill>
                    <w14:schemeClr w14:val="tx1"/>
                  </w14:solidFill>
                </w14:textFill>
              </w:rPr>
              <w:t>大力开放智慧旅游领域应用场景，定期发布应用场景清单，以场景开放吸引企业落地布局；</w:t>
            </w:r>
            <w:r>
              <w:rPr>
                <w:rFonts w:hint="default" w:ascii="Times New Roman" w:hAnsi="Times New Roman" w:cs="Times New Roman"/>
                <w:color w:val="000000" w:themeColor="text1"/>
                <w:sz w:val="24"/>
                <w:szCs w:val="21"/>
                <w14:textFill>
                  <w14:solidFill>
                    <w14:schemeClr w14:val="tx1"/>
                  </w14:solidFill>
                </w14:textFill>
              </w:rPr>
              <w:t>依托黄山市招商引资管理平台，定期发布本市招商政策、政府软件和信息服务项目和行业发展需求等，引导意向企业来黄山设立区域性总部、服务中心、业务板块分支机构等</w:t>
            </w:r>
            <w:r>
              <w:rPr>
                <w:rFonts w:hint="default" w:ascii="Times New Roman" w:hAnsi="Times New Roman" w:cs="Times New Roman"/>
                <w:color w:val="000000" w:themeColor="text1"/>
                <w:sz w:val="24"/>
                <w:szCs w:val="21"/>
                <w:lang w:eastAsia="zh-CN"/>
                <w14:textFill>
                  <w14:solidFill>
                    <w14:schemeClr w14:val="tx1"/>
                  </w14:solidFill>
                </w14:textFill>
              </w:rPr>
              <w:t>；</w:t>
            </w:r>
            <w:r>
              <w:rPr>
                <w:rFonts w:hint="default" w:ascii="Times New Roman" w:hAnsi="Times New Roman" w:cs="Times New Roman"/>
                <w:color w:val="000000" w:themeColor="text1"/>
                <w:sz w:val="24"/>
                <w:szCs w:val="21"/>
                <w14:textFill>
                  <w14:solidFill>
                    <w14:schemeClr w14:val="tx1"/>
                  </w14:solidFill>
                </w14:textFill>
              </w:rPr>
              <w:t>充分发挥黄山市数字经济产业促进会、黄山市大数据协会等商协会作用，引导商协会与软件产业咨询机构合作，开展精准招商、以商招商活动</w:t>
            </w:r>
            <w:r>
              <w:rPr>
                <w:rFonts w:hint="default" w:ascii="Times New Roman" w:hAnsi="Times New Roman" w:cs="Times New Roman"/>
                <w:color w:val="000000" w:themeColor="text1"/>
                <w:sz w:val="24"/>
                <w:szCs w:val="21"/>
                <w:lang w:eastAsia="zh-CN"/>
                <w14:textFill>
                  <w14:solidFill>
                    <w14:schemeClr w14:val="tx1"/>
                  </w14:solidFill>
                </w14:textFill>
              </w:rPr>
              <w:t>。</w:t>
            </w:r>
          </w:p>
        </w:tc>
      </w:tr>
      <w:tr w14:paraId="600A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7C926D41">
            <w:pPr>
              <w:spacing w:line="240" w:lineRule="auto"/>
              <w:ind w:firstLine="0" w:firstLineChars="0"/>
              <w:jc w:val="center"/>
              <w:rPr>
                <w:rFonts w:hint="default" w:ascii="Times New Roman" w:hAnsi="Times New Roman" w:eastAsia="仿宋_GB2312" w:cs="Times New Roman"/>
                <w:b/>
                <w:bCs/>
                <w:color w:val="000000" w:themeColor="text1"/>
                <w:sz w:val="24"/>
                <w:szCs w:val="21"/>
                <w:lang w:val="en-US" w:eastAsia="zh-CN"/>
                <w14:textFill>
                  <w14:solidFill>
                    <w14:schemeClr w14:val="tx1"/>
                  </w14:solidFill>
                </w14:textFill>
              </w:rPr>
            </w:pPr>
            <w:r>
              <w:rPr>
                <w:rFonts w:hint="default" w:ascii="Times New Roman" w:hAnsi="Times New Roman" w:cs="Times New Roman"/>
                <w:b/>
                <w:bCs/>
                <w:color w:val="000000" w:themeColor="text1"/>
                <w:sz w:val="24"/>
                <w:szCs w:val="21"/>
                <w:lang w:val="en-US" w:eastAsia="zh-CN"/>
                <w14:textFill>
                  <w14:solidFill>
                    <w14:schemeClr w14:val="tx1"/>
                  </w14:solidFill>
                </w14:textFill>
              </w:rPr>
              <w:t>智慧旅游</w:t>
            </w:r>
          </w:p>
        </w:tc>
        <w:tc>
          <w:tcPr>
            <w:tcW w:w="547" w:type="pct"/>
            <w:vAlign w:val="center"/>
          </w:tcPr>
          <w:p w14:paraId="049F98DA">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福建九天达信息科技股份有限公司</w:t>
            </w:r>
          </w:p>
        </w:tc>
        <w:tc>
          <w:tcPr>
            <w:tcW w:w="906" w:type="pct"/>
            <w:vAlign w:val="center"/>
          </w:tcPr>
          <w:p w14:paraId="11EC4E0C">
            <w:pPr>
              <w:spacing w:line="240" w:lineRule="auto"/>
              <w:ind w:firstLine="0" w:firstLineChars="0"/>
              <w:rPr>
                <w:rFonts w:hint="default" w:ascii="Times New Roman" w:hAnsi="Times New Roman" w:cs="Times New Roman"/>
                <w:color w:val="000000" w:themeColor="text1"/>
                <w:sz w:val="24"/>
                <w:szCs w:val="21"/>
                <w:lang w:val="en-US"/>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集规划、设计、建设、运营为一体的大型智慧旅游服务商，提供智慧旅游建设与运营服务。</w:t>
            </w:r>
          </w:p>
        </w:tc>
        <w:tc>
          <w:tcPr>
            <w:tcW w:w="429" w:type="pct"/>
            <w:vAlign w:val="center"/>
          </w:tcPr>
          <w:p w14:paraId="06C18D32">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福州市</w:t>
            </w:r>
          </w:p>
        </w:tc>
        <w:tc>
          <w:tcPr>
            <w:tcW w:w="793" w:type="pct"/>
            <w:vAlign w:val="center"/>
          </w:tcPr>
          <w:p w14:paraId="006B56A5">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九天达构建了代表国内较高水平的目的地智慧旅游整体解决方案，拥有4000+智慧旅游建设与运营服务经验，项目、人才、研发等综合实力强，且有对外布局能力。</w:t>
            </w:r>
          </w:p>
        </w:tc>
        <w:tc>
          <w:tcPr>
            <w:tcW w:w="1055" w:type="pct"/>
            <w:vAlign w:val="center"/>
          </w:tcPr>
          <w:p w14:paraId="120B8819">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1.智慧旅游相关软硬件产品研发及生产项目，如人脸识别系统、消费管理系统、自助购票系统等软件，以及配套的人脸识别终端、自助售票机等。</w:t>
            </w:r>
          </w:p>
          <w:p w14:paraId="5DC2720E">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2.智慧旅游平台方案项目，如智慧景区信息化系统、智慧景区营销平台、智慧旅游综合管理平台（旅游大数据平台）等。</w:t>
            </w:r>
          </w:p>
        </w:tc>
        <w:tc>
          <w:tcPr>
            <w:tcW w:w="797" w:type="pct"/>
            <w:vMerge w:val="continue"/>
            <w:vAlign w:val="center"/>
          </w:tcPr>
          <w:p w14:paraId="08D188ED">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2E45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5116DD06">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智慧旅游</w:t>
            </w:r>
          </w:p>
        </w:tc>
        <w:tc>
          <w:tcPr>
            <w:tcW w:w="547" w:type="pct"/>
            <w:vAlign w:val="center"/>
          </w:tcPr>
          <w:p w14:paraId="13129DD7">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携程计算机技术（上海）有限公司</w:t>
            </w:r>
          </w:p>
        </w:tc>
        <w:tc>
          <w:tcPr>
            <w:tcW w:w="906" w:type="pct"/>
            <w:vAlign w:val="center"/>
          </w:tcPr>
          <w:p w14:paraId="66B7326F">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旅游信息咨询服务、旅游大数据挖掘等。</w:t>
            </w:r>
          </w:p>
        </w:tc>
        <w:tc>
          <w:tcPr>
            <w:tcW w:w="429" w:type="pct"/>
            <w:vAlign w:val="center"/>
          </w:tcPr>
          <w:p w14:paraId="7BEAE088">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上海市</w:t>
            </w:r>
          </w:p>
        </w:tc>
        <w:tc>
          <w:tcPr>
            <w:tcW w:w="793" w:type="pct"/>
            <w:vAlign w:val="center"/>
          </w:tcPr>
          <w:p w14:paraId="0DAE0E48">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旅游数据挖掘领域龙头股，可有效赋能全市旅游产业发展；企业在安徽尚未设立子公司。</w:t>
            </w:r>
          </w:p>
        </w:tc>
        <w:tc>
          <w:tcPr>
            <w:tcW w:w="1055" w:type="pct"/>
            <w:vAlign w:val="center"/>
          </w:tcPr>
          <w:p w14:paraId="274E4E24">
            <w:pPr>
              <w:spacing w:line="240" w:lineRule="auto"/>
              <w:ind w:firstLine="0" w:firstLineChars="0"/>
              <w:jc w:val="center"/>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OTA</w:t>
            </w:r>
          </w:p>
        </w:tc>
        <w:tc>
          <w:tcPr>
            <w:tcW w:w="797" w:type="pct"/>
            <w:vMerge w:val="continue"/>
            <w:vAlign w:val="center"/>
          </w:tcPr>
          <w:p w14:paraId="7B03CC48">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1048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0E28FF63">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智慧旅游</w:t>
            </w:r>
          </w:p>
        </w:tc>
        <w:tc>
          <w:tcPr>
            <w:tcW w:w="547" w:type="pct"/>
            <w:vAlign w:val="center"/>
          </w:tcPr>
          <w:p w14:paraId="238360F6">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马上游科技股份有限公司</w:t>
            </w:r>
          </w:p>
        </w:tc>
        <w:tc>
          <w:tcPr>
            <w:tcW w:w="906" w:type="pct"/>
            <w:vAlign w:val="center"/>
          </w:tcPr>
          <w:p w14:paraId="7259D719">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包括智慧旅游建设、智慧营销、目的地运营等智慧旅游服务。</w:t>
            </w:r>
          </w:p>
        </w:tc>
        <w:tc>
          <w:tcPr>
            <w:tcW w:w="429" w:type="pct"/>
            <w:vAlign w:val="center"/>
          </w:tcPr>
          <w:p w14:paraId="0EA6926B">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江苏省镇江市</w:t>
            </w:r>
          </w:p>
        </w:tc>
        <w:tc>
          <w:tcPr>
            <w:tcW w:w="793" w:type="pct"/>
            <w:vAlign w:val="center"/>
          </w:tcPr>
          <w:p w14:paraId="316F860C">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已为洛阳、张家界、徐州等提供智慧旅游服务，企业实力强劲。</w:t>
            </w:r>
          </w:p>
        </w:tc>
        <w:tc>
          <w:tcPr>
            <w:tcW w:w="1055" w:type="pct"/>
            <w:vAlign w:val="center"/>
          </w:tcPr>
          <w:p w14:paraId="2D02FF3A">
            <w:pPr>
              <w:spacing w:line="240" w:lineRule="auto"/>
              <w:ind w:firstLine="0" w:firstLineChars="0"/>
              <w:rPr>
                <w:rFonts w:hint="default" w:ascii="Times New Roman" w:hAnsi="Times New Roman" w:cs="Times New Roman"/>
                <w:lang w:val="en-US" w:eastAsia="zh-CN"/>
              </w:rPr>
            </w:pPr>
            <w:r>
              <w:rPr>
                <w:rFonts w:hint="default" w:ascii="Times New Roman" w:hAnsi="Times New Roman" w:cs="Times New Roman"/>
                <w:color w:val="000000" w:themeColor="text1"/>
                <w:sz w:val="24"/>
                <w:szCs w:val="21"/>
                <w:lang w:val="en-US" w:eastAsia="zh-CN"/>
                <w14:textFill>
                  <w14:solidFill>
                    <w14:schemeClr w14:val="tx1"/>
                  </w14:solidFill>
                </w14:textFill>
              </w:rPr>
              <w:t>1.智慧营销，如大数据营销、数字营销、文旅IP。</w:t>
            </w:r>
          </w:p>
          <w:p w14:paraId="0794F5F5">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2.智慧旅游监管平台，包括平台监管、旅行社监管、智慧景区监管等方面监管系统及平台开发。</w:t>
            </w:r>
          </w:p>
          <w:p w14:paraId="74F132C1">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3.区块链+旅游，目前该企业准备打造基于区块链的全球新旅游平台项目，同时基于此开发其他业务系统，如供应链的协同系统、分销系统、资金管理系统等，可积极对接未来要布局的项目。</w:t>
            </w:r>
          </w:p>
        </w:tc>
        <w:tc>
          <w:tcPr>
            <w:tcW w:w="797" w:type="pct"/>
            <w:vMerge w:val="continue"/>
            <w:vAlign w:val="center"/>
          </w:tcPr>
          <w:p w14:paraId="7208B6F4">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670E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6B78FD82">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智慧旅游</w:t>
            </w:r>
          </w:p>
        </w:tc>
        <w:tc>
          <w:tcPr>
            <w:tcW w:w="547" w:type="pct"/>
            <w:vAlign w:val="center"/>
          </w:tcPr>
          <w:p w14:paraId="17AEF7E0">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苏州小棉袄信息技术股份有限公司</w:t>
            </w:r>
          </w:p>
        </w:tc>
        <w:tc>
          <w:tcPr>
            <w:tcW w:w="906" w:type="pct"/>
            <w:vAlign w:val="center"/>
          </w:tcPr>
          <w:p w14:paraId="5D677617">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目的地智慧文旅平台综合服务商。</w:t>
            </w:r>
          </w:p>
        </w:tc>
        <w:tc>
          <w:tcPr>
            <w:tcW w:w="429" w:type="pct"/>
            <w:vAlign w:val="center"/>
          </w:tcPr>
          <w:p w14:paraId="4EC8CEDF">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江苏省苏州市</w:t>
            </w:r>
          </w:p>
        </w:tc>
        <w:tc>
          <w:tcPr>
            <w:tcW w:w="793" w:type="pct"/>
            <w:vAlign w:val="center"/>
          </w:tcPr>
          <w:p w14:paraId="066FD442">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企业在智慧旅游领域拥有多项软件著作权，发展前景良好。</w:t>
            </w:r>
          </w:p>
        </w:tc>
        <w:tc>
          <w:tcPr>
            <w:tcW w:w="1055" w:type="pct"/>
            <w:vAlign w:val="center"/>
          </w:tcPr>
          <w:p w14:paraId="46A06DD5">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1.智慧景区管理与运营平台，如搭建在线商城、分时预约、数据客流检测、视频监控、应急调度指挥系统等。</w:t>
            </w:r>
          </w:p>
          <w:p w14:paraId="65AB2119">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2.电商代运营。</w:t>
            </w:r>
          </w:p>
        </w:tc>
        <w:tc>
          <w:tcPr>
            <w:tcW w:w="797" w:type="pct"/>
            <w:vMerge w:val="continue"/>
            <w:vAlign w:val="center"/>
          </w:tcPr>
          <w:p w14:paraId="00FD7FC4">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308C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53B5CE0F">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数字创意</w:t>
            </w:r>
          </w:p>
        </w:tc>
        <w:tc>
          <w:tcPr>
            <w:tcW w:w="547" w:type="pct"/>
            <w:vAlign w:val="center"/>
          </w:tcPr>
          <w:p w14:paraId="754AF05B">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新国脉数字文化股份有限公司</w:t>
            </w:r>
          </w:p>
        </w:tc>
        <w:tc>
          <w:tcPr>
            <w:tcW w:w="906" w:type="pct"/>
            <w:vAlign w:val="center"/>
          </w:tcPr>
          <w:p w14:paraId="7651F058">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元宇宙文创产品研发。</w:t>
            </w:r>
          </w:p>
        </w:tc>
        <w:tc>
          <w:tcPr>
            <w:tcW w:w="429" w:type="pct"/>
            <w:vAlign w:val="center"/>
          </w:tcPr>
          <w:p w14:paraId="1B0B7A71">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上海市</w:t>
            </w:r>
          </w:p>
        </w:tc>
        <w:tc>
          <w:tcPr>
            <w:tcW w:w="793" w:type="pct"/>
            <w:vAlign w:val="center"/>
          </w:tcPr>
          <w:p w14:paraId="5C7545D2">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数字文化领域A股上市龙头企业，发展前景广阔。</w:t>
            </w:r>
          </w:p>
        </w:tc>
        <w:tc>
          <w:tcPr>
            <w:tcW w:w="1055" w:type="pct"/>
            <w:vAlign w:val="center"/>
          </w:tcPr>
          <w:p w14:paraId="141B7C1E">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1.数字内容，如云演艺为代表的视频制作、云游戏等多场景数字娱乐系统。</w:t>
            </w:r>
          </w:p>
          <w:p w14:paraId="602F41D3">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2.元宇宙，如VR/AR等虚拟现实交互技术及应用场景开发。</w:t>
            </w:r>
          </w:p>
        </w:tc>
        <w:tc>
          <w:tcPr>
            <w:tcW w:w="797" w:type="pct"/>
            <w:vMerge w:val="restart"/>
            <w:vAlign w:val="center"/>
          </w:tcPr>
          <w:p w14:paraId="45A40D22">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聚焦数字创意领域，高水平举办“迎客松”杯创意创新创业大赛等赛事，通过数字创意赛事链接优质创新创业资源，促进优质项目落地转化；依托黄山市招商引资管理平台，定期发布本市招商政策、政府软件和信息服务项目和行业发展需求等，引导意向企业来黄山设立区域性总部、服务中心、业务板块分支机构等</w:t>
            </w:r>
            <w:r>
              <w:rPr>
                <w:rFonts w:hint="default" w:ascii="Times New Roman" w:hAnsi="Times New Roman" w:cs="Times New Roman"/>
                <w:color w:val="000000" w:themeColor="text1"/>
                <w:sz w:val="24"/>
                <w:szCs w:val="21"/>
                <w:lang w:eastAsia="zh-CN"/>
                <w14:textFill>
                  <w14:solidFill>
                    <w14:schemeClr w14:val="tx1"/>
                  </w14:solidFill>
                </w14:textFill>
              </w:rPr>
              <w:t>；</w:t>
            </w:r>
            <w:r>
              <w:rPr>
                <w:rFonts w:hint="default" w:ascii="Times New Roman" w:hAnsi="Times New Roman" w:cs="Times New Roman"/>
                <w:color w:val="000000" w:themeColor="text1"/>
                <w:sz w:val="24"/>
                <w:szCs w:val="21"/>
                <w14:textFill>
                  <w14:solidFill>
                    <w14:schemeClr w14:val="tx1"/>
                  </w14:solidFill>
                </w14:textFill>
              </w:rPr>
              <w:t>充分发挥黄山市数字经济产业促进会、黄山市大数据协会等商协会作用，引导商协会与软件产业咨询机构合作，开展精准招商、以商招商活动。</w:t>
            </w:r>
          </w:p>
        </w:tc>
      </w:tr>
      <w:tr w14:paraId="11B8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16180847">
            <w:pPr>
              <w:spacing w:line="240" w:lineRule="auto"/>
              <w:ind w:firstLine="0" w:firstLineChars="0"/>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数字创意</w:t>
            </w:r>
          </w:p>
        </w:tc>
        <w:tc>
          <w:tcPr>
            <w:tcW w:w="547" w:type="pct"/>
            <w:vAlign w:val="center"/>
          </w:tcPr>
          <w:p w14:paraId="4320CBCB">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网易（杭州）网络有限公司</w:t>
            </w:r>
          </w:p>
        </w:tc>
        <w:tc>
          <w:tcPr>
            <w:tcW w:w="906" w:type="pct"/>
            <w:vAlign w:val="center"/>
          </w:tcPr>
          <w:p w14:paraId="5CBD0DBE">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网络游戏、动漫、数字文创等领域综合型企业。</w:t>
            </w:r>
          </w:p>
        </w:tc>
        <w:tc>
          <w:tcPr>
            <w:tcW w:w="429" w:type="pct"/>
            <w:vAlign w:val="center"/>
          </w:tcPr>
          <w:p w14:paraId="1EF821FD">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浙江省杭州市</w:t>
            </w:r>
          </w:p>
        </w:tc>
        <w:tc>
          <w:tcPr>
            <w:tcW w:w="793" w:type="pct"/>
            <w:vAlign w:val="center"/>
          </w:tcPr>
          <w:p w14:paraId="5CD02BFE">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企业在多地设立基地，对外投资活跃；拥有多项专利、知识产权，创新实力雄厚。</w:t>
            </w:r>
          </w:p>
        </w:tc>
        <w:tc>
          <w:tcPr>
            <w:tcW w:w="1055" w:type="pct"/>
            <w:vAlign w:val="center"/>
          </w:tcPr>
          <w:p w14:paraId="78934590">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1.网络游戏类软件开发。</w:t>
            </w:r>
          </w:p>
          <w:p w14:paraId="193F66CA">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2.电商平台。</w:t>
            </w:r>
          </w:p>
          <w:p w14:paraId="348BD64F">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3.新消费产品，如在线音乐平台、在线教育、咨询传媒平台等软件。</w:t>
            </w:r>
          </w:p>
        </w:tc>
        <w:tc>
          <w:tcPr>
            <w:tcW w:w="797" w:type="pct"/>
            <w:vMerge w:val="continue"/>
            <w:vAlign w:val="center"/>
          </w:tcPr>
          <w:p w14:paraId="5BB0215E">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17FC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3C71BEDD">
            <w:pPr>
              <w:spacing w:line="240" w:lineRule="auto"/>
              <w:ind w:firstLine="0" w:firstLineChars="0"/>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数字创意</w:t>
            </w:r>
          </w:p>
        </w:tc>
        <w:tc>
          <w:tcPr>
            <w:tcW w:w="547" w:type="pct"/>
            <w:vAlign w:val="center"/>
          </w:tcPr>
          <w:p w14:paraId="3733EB4D">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三七互娱网络科技集团股份有限公司</w:t>
            </w:r>
          </w:p>
        </w:tc>
        <w:tc>
          <w:tcPr>
            <w:tcW w:w="906" w:type="pct"/>
            <w:vAlign w:val="center"/>
          </w:tcPr>
          <w:p w14:paraId="07947945">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网游、手游等游戏产品开发。</w:t>
            </w:r>
          </w:p>
        </w:tc>
        <w:tc>
          <w:tcPr>
            <w:tcW w:w="429" w:type="pct"/>
            <w:vAlign w:val="center"/>
          </w:tcPr>
          <w:p w14:paraId="544CAFF8">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安徽省芜湖市</w:t>
            </w:r>
          </w:p>
        </w:tc>
        <w:tc>
          <w:tcPr>
            <w:tcW w:w="793" w:type="pct"/>
            <w:vAlign w:val="center"/>
          </w:tcPr>
          <w:p w14:paraId="508007EF">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全球前20上市游戏企业，发展实力强劲；参股控股企业100余家，对外投资活跃。</w:t>
            </w:r>
          </w:p>
        </w:tc>
        <w:tc>
          <w:tcPr>
            <w:tcW w:w="1055" w:type="pct"/>
            <w:vAlign w:val="center"/>
          </w:tcPr>
          <w:p w14:paraId="7D9114E1">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1.数字内容，包括游戏类、影视类、动漫类等软件开发。</w:t>
            </w:r>
          </w:p>
          <w:p w14:paraId="7A71A8A4">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2.云宇宙。</w:t>
            </w:r>
          </w:p>
        </w:tc>
        <w:tc>
          <w:tcPr>
            <w:tcW w:w="797" w:type="pct"/>
            <w:vMerge w:val="continue"/>
            <w:vAlign w:val="center"/>
          </w:tcPr>
          <w:p w14:paraId="4E524E49">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5863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0" w:type="pct"/>
            <w:vAlign w:val="center"/>
          </w:tcPr>
          <w:p w14:paraId="3F4FE247">
            <w:pPr>
              <w:spacing w:line="240" w:lineRule="auto"/>
              <w:ind w:firstLine="0" w:firstLineChars="0"/>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数字创意</w:t>
            </w:r>
          </w:p>
        </w:tc>
        <w:tc>
          <w:tcPr>
            <w:tcW w:w="547" w:type="pct"/>
            <w:vAlign w:val="center"/>
          </w:tcPr>
          <w:p w14:paraId="1098DB26">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中文在线数字出版集团股份有限公司</w:t>
            </w:r>
          </w:p>
        </w:tc>
        <w:tc>
          <w:tcPr>
            <w:tcW w:w="906" w:type="pct"/>
            <w:vAlign w:val="center"/>
          </w:tcPr>
          <w:p w14:paraId="0F41D31D">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数字藏品平台运营服务商。</w:t>
            </w:r>
          </w:p>
        </w:tc>
        <w:tc>
          <w:tcPr>
            <w:tcW w:w="429" w:type="pct"/>
            <w:vAlign w:val="center"/>
          </w:tcPr>
          <w:p w14:paraId="1C08460C">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北京市</w:t>
            </w:r>
          </w:p>
        </w:tc>
        <w:tc>
          <w:tcPr>
            <w:tcW w:w="793" w:type="pct"/>
            <w:vAlign w:val="center"/>
          </w:tcPr>
          <w:p w14:paraId="02EA7D4C">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A股上市企业，业内龙头企业；参股控股企业43家，对外投资活跃，尚未在安徽设立子公司。</w:t>
            </w:r>
          </w:p>
        </w:tc>
        <w:tc>
          <w:tcPr>
            <w:tcW w:w="1055" w:type="pct"/>
            <w:vAlign w:val="center"/>
          </w:tcPr>
          <w:p w14:paraId="0F27075B">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1.数字内容，包括数字阅读、音频、动漫、影视等系统软件开发。</w:t>
            </w:r>
          </w:p>
          <w:p w14:paraId="48AD6576">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2.数字文创产品，如数字藏品。</w:t>
            </w:r>
          </w:p>
          <w:p w14:paraId="064A744C">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3.新型消费产品，IP元宇宙、VR影视/动漫等。</w:t>
            </w:r>
          </w:p>
        </w:tc>
        <w:tc>
          <w:tcPr>
            <w:tcW w:w="797" w:type="pct"/>
            <w:vMerge w:val="continue"/>
            <w:vAlign w:val="center"/>
          </w:tcPr>
          <w:p w14:paraId="62EDFBCC">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2513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5404710B">
            <w:pPr>
              <w:spacing w:line="240" w:lineRule="auto"/>
              <w:ind w:firstLine="0" w:firstLineChars="0"/>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数字政府</w:t>
            </w:r>
          </w:p>
        </w:tc>
        <w:tc>
          <w:tcPr>
            <w:tcW w:w="547" w:type="pct"/>
            <w:vAlign w:val="center"/>
          </w:tcPr>
          <w:p w14:paraId="1D02583D">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银江技术股份有限公司</w:t>
            </w:r>
          </w:p>
        </w:tc>
        <w:tc>
          <w:tcPr>
            <w:tcW w:w="906" w:type="pct"/>
            <w:vAlign w:val="center"/>
          </w:tcPr>
          <w:p w14:paraId="158CA09F">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城市大脑建设运营服务商，应用场景包括智慧交通、镇街大脑等。</w:t>
            </w:r>
          </w:p>
        </w:tc>
        <w:tc>
          <w:tcPr>
            <w:tcW w:w="429" w:type="pct"/>
            <w:vAlign w:val="center"/>
          </w:tcPr>
          <w:p w14:paraId="4772CC16">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浙江省杭州市</w:t>
            </w:r>
          </w:p>
        </w:tc>
        <w:tc>
          <w:tcPr>
            <w:tcW w:w="793" w:type="pct"/>
            <w:vAlign w:val="center"/>
          </w:tcPr>
          <w:p w14:paraId="31B01526">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科创板上市企业，实力雄厚；参股控股企业47家，对外投资活跃；拥有各项创新成果600余项，创新实力强劲。</w:t>
            </w:r>
          </w:p>
        </w:tc>
        <w:tc>
          <w:tcPr>
            <w:tcW w:w="1055" w:type="pct"/>
            <w:vAlign w:val="center"/>
          </w:tcPr>
          <w:p w14:paraId="0FA5BCF5">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1.城市大脑、交通大脑建设运营，包括大数据处理等。</w:t>
            </w:r>
          </w:p>
          <w:p w14:paraId="5CD12FF9">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2.基层社会智慧化治理，包括智能分析等基础平台、数据集成治理服务、数据分析应用服务等。</w:t>
            </w:r>
          </w:p>
        </w:tc>
        <w:tc>
          <w:tcPr>
            <w:tcW w:w="797" w:type="pct"/>
            <w:vMerge w:val="restart"/>
            <w:vAlign w:val="center"/>
          </w:tcPr>
          <w:p w14:paraId="3902E76A">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聚焦数字政府领域，围绕政务数字化应用、政务数据服务、政务办公等领域，布局一批优质项目，吸引数字政府领域软件与信息服务企业入驻园区。</w:t>
            </w:r>
          </w:p>
        </w:tc>
      </w:tr>
      <w:tr w14:paraId="2928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5D5CE88A">
            <w:pPr>
              <w:spacing w:line="240" w:lineRule="auto"/>
              <w:ind w:firstLine="0" w:firstLineChars="0"/>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数字政府</w:t>
            </w:r>
          </w:p>
        </w:tc>
        <w:tc>
          <w:tcPr>
            <w:tcW w:w="547" w:type="pct"/>
            <w:vAlign w:val="center"/>
          </w:tcPr>
          <w:p w14:paraId="57B4A9C1">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英飞拓（杭州）信息系统技术有限公司</w:t>
            </w:r>
          </w:p>
        </w:tc>
        <w:tc>
          <w:tcPr>
            <w:tcW w:w="906" w:type="pct"/>
            <w:vAlign w:val="center"/>
          </w:tcPr>
          <w:p w14:paraId="05380031">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提供智慧城市、新基建等重点领域数字化产业服务。</w:t>
            </w:r>
          </w:p>
        </w:tc>
        <w:tc>
          <w:tcPr>
            <w:tcW w:w="429" w:type="pct"/>
            <w:vAlign w:val="center"/>
          </w:tcPr>
          <w:p w14:paraId="156164AD">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浙江省杭州市</w:t>
            </w:r>
          </w:p>
        </w:tc>
        <w:tc>
          <w:tcPr>
            <w:tcW w:w="793" w:type="pct"/>
            <w:vAlign w:val="center"/>
          </w:tcPr>
          <w:p w14:paraId="23ABB4A5">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成功落地智慧城市、智慧教育、雪亮工程等多个示范项目，发展基础扎实。</w:t>
            </w:r>
          </w:p>
        </w:tc>
        <w:tc>
          <w:tcPr>
            <w:tcW w:w="1055" w:type="pct"/>
            <w:vAlign w:val="center"/>
          </w:tcPr>
          <w:p w14:paraId="44A20BD9">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1.政务大数据治理算法。2.政务线上办公。</w:t>
            </w:r>
          </w:p>
        </w:tc>
        <w:tc>
          <w:tcPr>
            <w:tcW w:w="797" w:type="pct"/>
            <w:vMerge w:val="continue"/>
            <w:vAlign w:val="center"/>
          </w:tcPr>
          <w:p w14:paraId="78A06998">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3C1F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0" w:type="pct"/>
            <w:vAlign w:val="center"/>
          </w:tcPr>
          <w:p w14:paraId="53F445C4">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数字政府</w:t>
            </w:r>
          </w:p>
        </w:tc>
        <w:tc>
          <w:tcPr>
            <w:tcW w:w="547" w:type="pct"/>
            <w:vAlign w:val="center"/>
          </w:tcPr>
          <w:p w14:paraId="47DB8959">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南京国图信息产业有限公司</w:t>
            </w:r>
          </w:p>
        </w:tc>
        <w:tc>
          <w:tcPr>
            <w:tcW w:w="906" w:type="pct"/>
            <w:vAlign w:val="center"/>
          </w:tcPr>
          <w:p w14:paraId="3E0C9FDE">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提供国土空间基础信息平台解决方案、自然资源综合监管平台解决方案等。</w:t>
            </w:r>
          </w:p>
        </w:tc>
        <w:tc>
          <w:tcPr>
            <w:tcW w:w="429" w:type="pct"/>
            <w:vAlign w:val="center"/>
          </w:tcPr>
          <w:p w14:paraId="4CC32087">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江苏省南京市</w:t>
            </w:r>
          </w:p>
        </w:tc>
        <w:tc>
          <w:tcPr>
            <w:tcW w:w="793" w:type="pct"/>
            <w:vAlign w:val="center"/>
          </w:tcPr>
          <w:p w14:paraId="166D2435">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拥有200余项专利、软件著作权，企业创新水平较高。</w:t>
            </w:r>
          </w:p>
        </w:tc>
        <w:tc>
          <w:tcPr>
            <w:tcW w:w="1055" w:type="pct"/>
            <w:vAlign w:val="center"/>
          </w:tcPr>
          <w:p w14:paraId="61B6847E">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1.电子政务类软件。</w:t>
            </w:r>
          </w:p>
          <w:p w14:paraId="6FA13F91">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2.社会治理类软件，包括自然资源、水利水资源、税务、不动产等方面的GIS系统等。</w:t>
            </w:r>
          </w:p>
        </w:tc>
        <w:tc>
          <w:tcPr>
            <w:tcW w:w="797" w:type="pct"/>
            <w:vMerge w:val="continue"/>
            <w:vAlign w:val="center"/>
          </w:tcPr>
          <w:p w14:paraId="3E45B145">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4542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4B08D395">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数字乡村</w:t>
            </w:r>
          </w:p>
        </w:tc>
        <w:tc>
          <w:tcPr>
            <w:tcW w:w="547" w:type="pct"/>
            <w:vAlign w:val="center"/>
          </w:tcPr>
          <w:p w14:paraId="2865EBC9">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浙江托普云农科技股份有限公司</w:t>
            </w:r>
          </w:p>
        </w:tc>
        <w:tc>
          <w:tcPr>
            <w:tcW w:w="906" w:type="pct"/>
            <w:vAlign w:val="center"/>
          </w:tcPr>
          <w:p w14:paraId="431ECA0D">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为农业提供集数据采集、分析决策、精准执行与科学管理于一体的数字农业一站式综合解决方案。</w:t>
            </w:r>
          </w:p>
        </w:tc>
        <w:tc>
          <w:tcPr>
            <w:tcW w:w="429" w:type="pct"/>
            <w:vAlign w:val="center"/>
          </w:tcPr>
          <w:p w14:paraId="41A96AED">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浙江省杭州市</w:t>
            </w:r>
          </w:p>
        </w:tc>
        <w:tc>
          <w:tcPr>
            <w:tcW w:w="793" w:type="pct"/>
            <w:vAlign w:val="center"/>
          </w:tcPr>
          <w:p w14:paraId="701112D5">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公司已研发了70余种传感器和130多种智能装备，获得国家专利110项，产品软件著作权278项，创新实力业内领先。</w:t>
            </w:r>
          </w:p>
        </w:tc>
        <w:tc>
          <w:tcPr>
            <w:tcW w:w="1055" w:type="pct"/>
            <w:vAlign w:val="center"/>
          </w:tcPr>
          <w:p w14:paraId="13718C84">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1.数字农业，农业生产全要素的智慧数据采集、管理决策系统等。</w:t>
            </w:r>
          </w:p>
          <w:p w14:paraId="077A2995">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2.数字乡村大脑。</w:t>
            </w:r>
          </w:p>
        </w:tc>
        <w:tc>
          <w:tcPr>
            <w:tcW w:w="797" w:type="pct"/>
            <w:vMerge w:val="restart"/>
            <w:vAlign w:val="center"/>
          </w:tcPr>
          <w:p w14:paraId="08835C13">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聚焦数字乡村领域，依托与蚂蚁集团、阿里巴巴战略合作，探索共建专业孵化器、产业园等项目，精准招引孵化一批数字农业、数字乡村治理等领域企业；</w:t>
            </w:r>
            <w:r>
              <w:rPr>
                <w:rFonts w:hint="default" w:ascii="Times New Roman" w:hAnsi="Times New Roman" w:cs="Times New Roman"/>
                <w:color w:val="000000" w:themeColor="text1"/>
                <w:sz w:val="24"/>
                <w:szCs w:val="21"/>
                <w:lang w:val="en-US" w:eastAsia="zh-CN"/>
                <w14:textFill>
                  <w14:solidFill>
                    <w14:schemeClr w14:val="tx1"/>
                  </w14:solidFill>
                </w14:textFill>
              </w:rPr>
              <w:t>大力开放数字乡村领域应用场景，定期发布应用场景清单，以场景开放吸引企业落地布局；</w:t>
            </w:r>
            <w:r>
              <w:rPr>
                <w:rFonts w:hint="default" w:ascii="Times New Roman" w:hAnsi="Times New Roman" w:cs="Times New Roman"/>
                <w:color w:val="000000" w:themeColor="text1"/>
                <w:sz w:val="24"/>
                <w:szCs w:val="21"/>
                <w14:textFill>
                  <w14:solidFill>
                    <w14:schemeClr w14:val="tx1"/>
                  </w14:solidFill>
                </w14:textFill>
              </w:rPr>
              <w:t>依托黄山学院及各类交流合作平台开展招商对接会，争取校友企业、本市籍企业等知名软件企业</w:t>
            </w:r>
            <w:r>
              <w:rPr>
                <w:rFonts w:hint="default" w:ascii="Times New Roman" w:hAnsi="Times New Roman" w:cs="Times New Roman"/>
                <w:color w:val="000000" w:themeColor="text1"/>
                <w:sz w:val="24"/>
                <w:szCs w:val="21"/>
                <w:lang w:val="en-US" w:eastAsia="zh-CN"/>
                <w14:textFill>
                  <w14:solidFill>
                    <w14:schemeClr w14:val="tx1"/>
                  </w14:solidFill>
                </w14:textFill>
              </w:rPr>
              <w:t>返乡创新创业</w:t>
            </w:r>
            <w:r>
              <w:rPr>
                <w:rFonts w:hint="default" w:ascii="Times New Roman" w:hAnsi="Times New Roman" w:cs="Times New Roman"/>
                <w:color w:val="000000" w:themeColor="text1"/>
                <w:sz w:val="24"/>
                <w:szCs w:val="21"/>
                <w14:textFill>
                  <w14:solidFill>
                    <w14:schemeClr w14:val="tx1"/>
                  </w14:solidFill>
                </w14:textFill>
              </w:rPr>
              <w:t>。</w:t>
            </w:r>
          </w:p>
        </w:tc>
      </w:tr>
      <w:tr w14:paraId="43F3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67CFECFA">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数字乡村</w:t>
            </w:r>
          </w:p>
        </w:tc>
        <w:tc>
          <w:tcPr>
            <w:tcW w:w="547" w:type="pct"/>
            <w:vAlign w:val="center"/>
          </w:tcPr>
          <w:p w14:paraId="4DB44B61">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江苏瑞丰信息技术股份有限公司</w:t>
            </w:r>
          </w:p>
        </w:tc>
        <w:tc>
          <w:tcPr>
            <w:tcW w:w="906" w:type="pct"/>
            <w:vAlign w:val="center"/>
          </w:tcPr>
          <w:p w14:paraId="76B32AF2">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数字农业、数字乡村领域综合信息服务供应商。</w:t>
            </w:r>
          </w:p>
        </w:tc>
        <w:tc>
          <w:tcPr>
            <w:tcW w:w="429" w:type="pct"/>
            <w:vAlign w:val="center"/>
          </w:tcPr>
          <w:p w14:paraId="5915D1EC">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江苏省扬州市</w:t>
            </w:r>
          </w:p>
        </w:tc>
        <w:tc>
          <w:tcPr>
            <w:tcW w:w="793" w:type="pct"/>
            <w:vAlign w:val="center"/>
          </w:tcPr>
          <w:p w14:paraId="20D09F21">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在南京、上海设有子公司，在长三角区域投资活跃度高；拥有100余项知识产权，具备较强的创新实力。</w:t>
            </w:r>
          </w:p>
        </w:tc>
        <w:tc>
          <w:tcPr>
            <w:tcW w:w="1055" w:type="pct"/>
            <w:vAlign w:val="center"/>
          </w:tcPr>
          <w:p w14:paraId="44DE2595">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1.数字农业，如农产品深加工、农产品品牌运营推广、物流供应链系统和电商销售系统等。</w:t>
            </w:r>
          </w:p>
          <w:p w14:paraId="09F3D9FC">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2.数字乡村，如智慧街道、智慧党建、景点线上运营等。</w:t>
            </w:r>
          </w:p>
        </w:tc>
        <w:tc>
          <w:tcPr>
            <w:tcW w:w="797" w:type="pct"/>
            <w:vMerge w:val="continue"/>
            <w:vAlign w:val="center"/>
          </w:tcPr>
          <w:p w14:paraId="35CA8B53">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7EA2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54AC2275">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数字乡村</w:t>
            </w:r>
          </w:p>
        </w:tc>
        <w:tc>
          <w:tcPr>
            <w:tcW w:w="547" w:type="pct"/>
            <w:vAlign w:val="center"/>
          </w:tcPr>
          <w:p w14:paraId="30A59CD5">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浙江天演维真网络科技股份有限公司</w:t>
            </w:r>
          </w:p>
        </w:tc>
        <w:tc>
          <w:tcPr>
            <w:tcW w:w="906" w:type="pct"/>
            <w:vAlign w:val="center"/>
          </w:tcPr>
          <w:p w14:paraId="022E58CB">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“数字乡村 智慧三农”整体解决方案供应商。</w:t>
            </w:r>
          </w:p>
        </w:tc>
        <w:tc>
          <w:tcPr>
            <w:tcW w:w="429" w:type="pct"/>
            <w:vAlign w:val="center"/>
          </w:tcPr>
          <w:p w14:paraId="78D424EB">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浙江省杭州市</w:t>
            </w:r>
          </w:p>
        </w:tc>
        <w:tc>
          <w:tcPr>
            <w:tcW w:w="793" w:type="pct"/>
            <w:vAlign w:val="center"/>
          </w:tcPr>
          <w:p w14:paraId="69B35EC6">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在多地设立分支机构，对外投资活跃度高；拥有100余项知识产权，创新基础扎实。</w:t>
            </w:r>
          </w:p>
        </w:tc>
        <w:tc>
          <w:tcPr>
            <w:tcW w:w="1055" w:type="pct"/>
            <w:vAlign w:val="center"/>
          </w:tcPr>
          <w:p w14:paraId="76847C1F">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1.智慧农业，如农业物联网技术产品、智慧农业集成解决和产业应用系统方案等。</w:t>
            </w:r>
          </w:p>
          <w:p w14:paraId="1C58FD1F">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2.智慧农安，如农产品质量安全智慧监管系统、预警指挥决策系统；农产品产地追溯体系与流通追溯体系等。</w:t>
            </w:r>
          </w:p>
        </w:tc>
        <w:tc>
          <w:tcPr>
            <w:tcW w:w="797" w:type="pct"/>
            <w:vMerge w:val="continue"/>
            <w:vAlign w:val="center"/>
          </w:tcPr>
          <w:p w14:paraId="2BB4676E">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45B7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081DD125">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数字乡村</w:t>
            </w:r>
          </w:p>
        </w:tc>
        <w:tc>
          <w:tcPr>
            <w:tcW w:w="547" w:type="pct"/>
            <w:vAlign w:val="center"/>
          </w:tcPr>
          <w:p w14:paraId="074D7C47">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滴翠智能科技（上海）有限公司</w:t>
            </w:r>
          </w:p>
        </w:tc>
        <w:tc>
          <w:tcPr>
            <w:tcW w:w="906" w:type="pct"/>
            <w:vAlign w:val="center"/>
          </w:tcPr>
          <w:p w14:paraId="18E47415">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提供乡镇数字化升级服务、智慧农业解决方案等。</w:t>
            </w:r>
          </w:p>
        </w:tc>
        <w:tc>
          <w:tcPr>
            <w:tcW w:w="429" w:type="pct"/>
            <w:vAlign w:val="center"/>
          </w:tcPr>
          <w:p w14:paraId="0060CF77">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上海市</w:t>
            </w:r>
          </w:p>
        </w:tc>
        <w:tc>
          <w:tcPr>
            <w:tcW w:w="793" w:type="pct"/>
            <w:vAlign w:val="center"/>
          </w:tcPr>
          <w:p w14:paraId="79210201">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拥有近百项知识产权，具备较强的创新实力。</w:t>
            </w:r>
          </w:p>
        </w:tc>
        <w:tc>
          <w:tcPr>
            <w:tcW w:w="1055" w:type="pct"/>
            <w:vAlign w:val="center"/>
          </w:tcPr>
          <w:p w14:paraId="42ADDE1C">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1.数据采集通信与控制硬件和软件系统。</w:t>
            </w:r>
          </w:p>
          <w:p w14:paraId="1E97231F">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2.农业种植数字化控制云平台。</w:t>
            </w:r>
          </w:p>
          <w:p w14:paraId="27BF50E1">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3.硬件产品，如传感器、控制器、摄像头等。</w:t>
            </w:r>
          </w:p>
        </w:tc>
        <w:tc>
          <w:tcPr>
            <w:tcW w:w="797" w:type="pct"/>
            <w:vMerge w:val="continue"/>
            <w:vAlign w:val="center"/>
          </w:tcPr>
          <w:p w14:paraId="43B8C1DF">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03E5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4DA43069">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工业互联网平台软件</w:t>
            </w:r>
          </w:p>
        </w:tc>
        <w:tc>
          <w:tcPr>
            <w:tcW w:w="547" w:type="pct"/>
            <w:vAlign w:val="center"/>
          </w:tcPr>
          <w:p w14:paraId="4C1FFFD3">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上海云轴信息科技有限公司</w:t>
            </w:r>
          </w:p>
        </w:tc>
        <w:tc>
          <w:tcPr>
            <w:tcW w:w="906" w:type="pct"/>
            <w:vAlign w:val="center"/>
          </w:tcPr>
          <w:p w14:paraId="547A3AF4">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主要产品为ZStack信创云平台，适配主流信创芯片、操作系统，同时全面支持中间件、数据库、应用软件等广泛信创生态。</w:t>
            </w:r>
          </w:p>
        </w:tc>
        <w:tc>
          <w:tcPr>
            <w:tcW w:w="429" w:type="pct"/>
            <w:vAlign w:val="center"/>
          </w:tcPr>
          <w:p w14:paraId="7C441EDC">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上海市</w:t>
            </w:r>
          </w:p>
        </w:tc>
        <w:tc>
          <w:tcPr>
            <w:tcW w:w="793" w:type="pct"/>
            <w:vAlign w:val="center"/>
          </w:tcPr>
          <w:p w14:paraId="7ABEE173">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在成都设有子公司，企业对外扩张意愿度高；拥有100余项知识产权，创新实力雄厚。</w:t>
            </w:r>
          </w:p>
        </w:tc>
        <w:tc>
          <w:tcPr>
            <w:tcW w:w="1055" w:type="pct"/>
            <w:vAlign w:val="center"/>
          </w:tcPr>
          <w:p w14:paraId="6D12DA56">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1.信创产业，如信创云平台、信创操作系统等。</w:t>
            </w:r>
          </w:p>
          <w:p w14:paraId="0E3326F9">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2.制造业解决方案，如工业云平台、工业安全系统、管理系统等。</w:t>
            </w:r>
          </w:p>
        </w:tc>
        <w:tc>
          <w:tcPr>
            <w:tcW w:w="797" w:type="pct"/>
            <w:vMerge w:val="restart"/>
            <w:vAlign w:val="center"/>
          </w:tcPr>
          <w:p w14:paraId="096FDE6B">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深入对接杭州、上海、南京等地软件产业资源，通过税收减免、一次性落户补贴、场地租金免除等方式，加快工业</w:t>
            </w:r>
            <w:r>
              <w:rPr>
                <w:rFonts w:hint="default" w:ascii="Times New Roman" w:hAnsi="Times New Roman" w:cs="Times New Roman"/>
                <w:color w:val="000000" w:themeColor="text1"/>
                <w:sz w:val="24"/>
                <w:szCs w:val="21"/>
                <w:lang w:val="en-US" w:eastAsia="zh-CN"/>
                <w14:textFill>
                  <w14:solidFill>
                    <w14:schemeClr w14:val="tx1"/>
                  </w14:solidFill>
                </w14:textFill>
              </w:rPr>
              <w:t>软件</w:t>
            </w:r>
            <w:r>
              <w:rPr>
                <w:rFonts w:hint="default" w:ascii="Times New Roman" w:hAnsi="Times New Roman" w:cs="Times New Roman"/>
                <w:color w:val="000000" w:themeColor="text1"/>
                <w:sz w:val="24"/>
                <w:szCs w:val="21"/>
                <w14:textFill>
                  <w14:solidFill>
                    <w14:schemeClr w14:val="tx1"/>
                  </w14:solidFill>
                </w14:textFill>
              </w:rPr>
              <w:t>优质企业与重大项目落地</w:t>
            </w:r>
            <w:r>
              <w:rPr>
                <w:rFonts w:hint="default" w:ascii="Times New Roman" w:hAnsi="Times New Roman" w:cs="Times New Roman"/>
                <w:color w:val="000000" w:themeColor="text1"/>
                <w:sz w:val="24"/>
                <w:szCs w:val="21"/>
                <w:lang w:eastAsia="zh-CN"/>
                <w14:textFill>
                  <w14:solidFill>
                    <w14:schemeClr w14:val="tx1"/>
                  </w14:solidFill>
                </w14:textFill>
              </w:rPr>
              <w:t>；</w:t>
            </w:r>
            <w:r>
              <w:rPr>
                <w:rFonts w:hint="default" w:ascii="Times New Roman" w:hAnsi="Times New Roman" w:cs="Times New Roman"/>
                <w:color w:val="000000" w:themeColor="text1"/>
                <w:sz w:val="24"/>
                <w:szCs w:val="21"/>
                <w14:textFill>
                  <w14:solidFill>
                    <w14:schemeClr w14:val="tx1"/>
                  </w14:solidFill>
                </w14:textFill>
              </w:rPr>
              <w:t>依托黄山市招商引资管理平台，定期发布本市招商政策、</w:t>
            </w:r>
            <w:r>
              <w:rPr>
                <w:rFonts w:hint="default" w:ascii="Times New Roman" w:hAnsi="Times New Roman" w:cs="Times New Roman"/>
                <w:color w:val="000000" w:themeColor="text1"/>
                <w:sz w:val="24"/>
                <w:szCs w:val="21"/>
                <w:lang w:val="en-US" w:eastAsia="zh-CN"/>
                <w14:textFill>
                  <w14:solidFill>
                    <w14:schemeClr w14:val="tx1"/>
                  </w14:solidFill>
                </w14:textFill>
              </w:rPr>
              <w:t>企业场景需求清单</w:t>
            </w:r>
            <w:r>
              <w:rPr>
                <w:rFonts w:hint="default" w:ascii="Times New Roman" w:hAnsi="Times New Roman" w:cs="Times New Roman"/>
                <w:color w:val="000000" w:themeColor="text1"/>
                <w:sz w:val="24"/>
                <w:szCs w:val="21"/>
                <w14:textFill>
                  <w14:solidFill>
                    <w14:schemeClr w14:val="tx1"/>
                  </w14:solidFill>
                </w14:textFill>
              </w:rPr>
              <w:t>等，引导意向企业来黄山设立区域性总部、服务中心、业务板块分支机构等</w:t>
            </w:r>
            <w:r>
              <w:rPr>
                <w:rFonts w:hint="default" w:ascii="Times New Roman" w:hAnsi="Times New Roman" w:cs="Times New Roman"/>
                <w:color w:val="000000" w:themeColor="text1"/>
                <w:sz w:val="24"/>
                <w:szCs w:val="21"/>
                <w:lang w:eastAsia="zh-CN"/>
                <w14:textFill>
                  <w14:solidFill>
                    <w14:schemeClr w14:val="tx1"/>
                  </w14:solidFill>
                </w14:textFill>
              </w:rPr>
              <w:t>；</w:t>
            </w:r>
            <w:r>
              <w:rPr>
                <w:rFonts w:hint="default" w:ascii="Times New Roman" w:hAnsi="Times New Roman" w:cs="Times New Roman"/>
                <w:color w:val="000000" w:themeColor="text1"/>
                <w:sz w:val="24"/>
                <w:szCs w:val="21"/>
                <w14:textFill>
                  <w14:solidFill>
                    <w14:schemeClr w14:val="tx1"/>
                  </w14:solidFill>
                </w14:textFill>
              </w:rPr>
              <w:t>充分发挥黄山市数字经济产业促进会、黄山市大数据协会等商协会作用，引导商协会与软件产业咨询机构合作，开展精准招商、以商招商活动。依托各类交流合作平台开展招商对接会，争取校友企业、本市籍企业等知名软件企业落户发展。</w:t>
            </w:r>
          </w:p>
        </w:tc>
      </w:tr>
      <w:tr w14:paraId="4919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44595A83">
            <w:pPr>
              <w:spacing w:line="240" w:lineRule="auto"/>
              <w:ind w:firstLine="0" w:firstLineChars="0"/>
              <w:jc w:val="center"/>
              <w:rPr>
                <w:rFonts w:hint="default" w:ascii="Times New Roman" w:hAnsi="Times New Roman" w:eastAsia="仿宋_GB2312" w:cs="Times New Roman"/>
                <w:b/>
                <w:bCs/>
                <w:color w:val="000000" w:themeColor="text1"/>
                <w:sz w:val="24"/>
                <w:szCs w:val="21"/>
                <w:lang w:val="en-US" w:eastAsia="zh-CN"/>
                <w14:textFill>
                  <w14:solidFill>
                    <w14:schemeClr w14:val="tx1"/>
                  </w14:solidFill>
                </w14:textFill>
              </w:rPr>
            </w:pPr>
            <w:r>
              <w:rPr>
                <w:rFonts w:hint="default" w:ascii="Times New Roman" w:hAnsi="Times New Roman" w:cs="Times New Roman"/>
                <w:b/>
                <w:bCs/>
                <w:color w:val="000000" w:themeColor="text1"/>
                <w:sz w:val="24"/>
                <w:szCs w:val="21"/>
                <w:lang w:val="en-US" w:eastAsia="zh-CN"/>
                <w14:textFill>
                  <w14:solidFill>
                    <w14:schemeClr w14:val="tx1"/>
                  </w14:solidFill>
                </w14:textFill>
              </w:rPr>
              <w:t>工业互联网平台软件</w:t>
            </w:r>
          </w:p>
        </w:tc>
        <w:tc>
          <w:tcPr>
            <w:tcW w:w="547" w:type="pct"/>
            <w:vAlign w:val="center"/>
          </w:tcPr>
          <w:p w14:paraId="1D650132">
            <w:pPr>
              <w:spacing w:line="240" w:lineRule="auto"/>
              <w:ind w:firstLine="0" w:firstLineChars="0"/>
              <w:rPr>
                <w:rFonts w:hint="default" w:ascii="Times New Roman" w:hAnsi="Times New Roman" w:eastAsia="仿宋_GB2312" w:cs="Times New Roman"/>
                <w:color w:val="000000" w:themeColor="text1"/>
                <w:kern w:val="2"/>
                <w:sz w:val="24"/>
                <w:szCs w:val="21"/>
                <w:lang w:val="en-US" w:eastAsia="zh-CN" w:bidi="ar-SA"/>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浙江鸿程计算机系统有限公司</w:t>
            </w:r>
          </w:p>
        </w:tc>
        <w:tc>
          <w:tcPr>
            <w:tcW w:w="906" w:type="pct"/>
            <w:vAlign w:val="center"/>
          </w:tcPr>
          <w:p w14:paraId="1CDF854D">
            <w:pPr>
              <w:spacing w:line="240" w:lineRule="auto"/>
              <w:ind w:firstLine="0" w:firstLineChars="0"/>
              <w:rPr>
                <w:rFonts w:hint="default" w:ascii="Times New Roman" w:hAnsi="Times New Roman" w:eastAsia="仿宋_GB2312" w:cs="Times New Roman"/>
                <w:color w:val="000000" w:themeColor="text1"/>
                <w:kern w:val="2"/>
                <w:sz w:val="24"/>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1"/>
                <w:lang w:val="en-US" w:eastAsia="zh-CN" w:bidi="ar-SA"/>
                <w14:textFill>
                  <w14:solidFill>
                    <w14:schemeClr w14:val="tx1"/>
                  </w14:solidFill>
                </w14:textFill>
              </w:rPr>
              <w:t>专注于面向数据大脑、数据运营等数字智能化场景应用，构建数据应用解决方案和复杂信息系统集成解决方案，致力于为通讯、能源、交通等重点企业提供高效的数字化解决方案和技术服务</w:t>
            </w:r>
            <w:r>
              <w:rPr>
                <w:rFonts w:hint="default" w:ascii="Times New Roman" w:hAnsi="Times New Roman" w:cs="Times New Roman"/>
                <w:color w:val="000000" w:themeColor="text1"/>
                <w:kern w:val="2"/>
                <w:sz w:val="24"/>
                <w:szCs w:val="21"/>
                <w:lang w:val="en-US" w:eastAsia="zh-CN" w:bidi="ar-SA"/>
                <w14:textFill>
                  <w14:solidFill>
                    <w14:schemeClr w14:val="tx1"/>
                  </w14:solidFill>
                </w14:textFill>
              </w:rPr>
              <w:t>。</w:t>
            </w:r>
          </w:p>
        </w:tc>
        <w:tc>
          <w:tcPr>
            <w:tcW w:w="429" w:type="pct"/>
            <w:vAlign w:val="center"/>
          </w:tcPr>
          <w:p w14:paraId="2BE35F12">
            <w:pPr>
              <w:spacing w:line="240" w:lineRule="auto"/>
              <w:ind w:firstLine="0" w:firstLineChars="0"/>
              <w:rPr>
                <w:rFonts w:hint="default" w:ascii="Times New Roman" w:hAnsi="Times New Roman" w:eastAsia="仿宋_GB2312" w:cs="Times New Roman"/>
                <w:color w:val="000000" w:themeColor="text1"/>
                <w:kern w:val="2"/>
                <w:sz w:val="24"/>
                <w:szCs w:val="21"/>
                <w:lang w:val="en-US" w:eastAsia="zh-CN" w:bidi="ar-SA"/>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浙江省杭州市</w:t>
            </w:r>
          </w:p>
        </w:tc>
        <w:tc>
          <w:tcPr>
            <w:tcW w:w="793" w:type="pct"/>
            <w:vAlign w:val="center"/>
          </w:tcPr>
          <w:p w14:paraId="0096B2E7">
            <w:pPr>
              <w:spacing w:line="240" w:lineRule="auto"/>
              <w:ind w:firstLine="0" w:firstLineChars="0"/>
              <w:rPr>
                <w:rFonts w:hint="default" w:ascii="Times New Roman" w:hAnsi="Times New Roman" w:eastAsia="仿宋_GB2312" w:cs="Times New Roman"/>
                <w:color w:val="000000" w:themeColor="text1"/>
                <w:kern w:val="2"/>
                <w:sz w:val="24"/>
                <w:szCs w:val="21"/>
                <w:lang w:val="en-US" w:eastAsia="zh-CN" w:bidi="ar-SA"/>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瞪羚企业，在</w:t>
            </w:r>
            <w:r>
              <w:rPr>
                <w:rFonts w:hint="default" w:ascii="Times New Roman" w:hAnsi="Times New Roman" w:cs="Times New Roman"/>
                <w:color w:val="000000" w:themeColor="text1"/>
                <w:sz w:val="24"/>
                <w:szCs w:val="21"/>
                <w:lang w:val="en-US" w:eastAsia="zh-CN"/>
                <w14:textFill>
                  <w14:solidFill>
                    <w14:schemeClr w14:val="tx1"/>
                  </w14:solidFill>
                </w14:textFill>
              </w:rPr>
              <w:t>数字化智能化场景应用领域</w:t>
            </w:r>
            <w:r>
              <w:rPr>
                <w:rFonts w:hint="default" w:ascii="Times New Roman" w:hAnsi="Times New Roman" w:cs="Times New Roman"/>
                <w:color w:val="000000" w:themeColor="text1"/>
                <w:sz w:val="24"/>
                <w:szCs w:val="21"/>
                <w14:textFill>
                  <w14:solidFill>
                    <w14:schemeClr w14:val="tx1"/>
                  </w14:solidFill>
                </w14:textFill>
              </w:rPr>
              <w:t>拥有多项专利、软件著作权，</w:t>
            </w:r>
            <w:r>
              <w:rPr>
                <w:rFonts w:hint="default" w:ascii="Times New Roman" w:hAnsi="Times New Roman" w:cs="Times New Roman"/>
                <w:color w:val="000000" w:themeColor="text1"/>
                <w:sz w:val="24"/>
                <w:szCs w:val="21"/>
                <w:lang w:val="en-US" w:eastAsia="zh-CN"/>
                <w14:textFill>
                  <w14:solidFill>
                    <w14:schemeClr w14:val="tx1"/>
                  </w14:solidFill>
                </w14:textFill>
              </w:rPr>
              <w:t>在北京、上海等多个城市设立分支机构，</w:t>
            </w:r>
            <w:r>
              <w:rPr>
                <w:rFonts w:hint="default" w:ascii="Times New Roman" w:hAnsi="Times New Roman" w:cs="Times New Roman"/>
                <w:color w:val="000000" w:themeColor="text1"/>
                <w:sz w:val="24"/>
                <w:szCs w:val="21"/>
                <w14:textFill>
                  <w14:solidFill>
                    <w14:schemeClr w14:val="tx1"/>
                  </w14:solidFill>
                </w14:textFill>
              </w:rPr>
              <w:t>企业实力雄厚。</w:t>
            </w:r>
          </w:p>
        </w:tc>
        <w:tc>
          <w:tcPr>
            <w:tcW w:w="1055" w:type="pct"/>
            <w:vAlign w:val="center"/>
          </w:tcPr>
          <w:p w14:paraId="45CFBD09">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1.数字企业领域，如数智化经营、生产运营支撑、工业数字化、基础平台服务、企业应用集成、数据应用服务等方面智慧系统及运维服务。</w:t>
            </w:r>
          </w:p>
          <w:p w14:paraId="403A4A05">
            <w:pPr>
              <w:spacing w:line="240" w:lineRule="auto"/>
              <w:ind w:firstLine="0" w:firstLineChars="0"/>
              <w:rPr>
                <w:rFonts w:hint="default" w:ascii="Times New Roman" w:hAnsi="Times New Roman" w:eastAsia="仿宋_GB2312" w:cs="Times New Roman"/>
                <w:color w:val="000000" w:themeColor="text1"/>
                <w:kern w:val="2"/>
                <w:sz w:val="24"/>
                <w:szCs w:val="21"/>
                <w:lang w:val="en-US" w:eastAsia="zh-CN" w:bidi="ar-SA"/>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2.智慧城市领域，如数据治理系统、智慧信用、数字农业、智慧环境、智能制造等领域系统、平台开发。</w:t>
            </w:r>
          </w:p>
        </w:tc>
        <w:tc>
          <w:tcPr>
            <w:tcW w:w="797" w:type="pct"/>
            <w:vMerge w:val="continue"/>
            <w:vAlign w:val="center"/>
          </w:tcPr>
          <w:p w14:paraId="6F82AE7A">
            <w:pPr>
              <w:spacing w:line="240" w:lineRule="auto"/>
              <w:ind w:firstLine="0" w:firstLineChars="0"/>
              <w:rPr>
                <w:rFonts w:hint="default" w:ascii="Times New Roman" w:hAnsi="Times New Roman" w:eastAsia="仿宋_GB2312" w:cs="Times New Roman"/>
                <w:color w:val="000000" w:themeColor="text1"/>
                <w:kern w:val="2"/>
                <w:sz w:val="24"/>
                <w:szCs w:val="21"/>
                <w:lang w:val="en-US" w:eastAsia="zh-CN" w:bidi="ar-SA"/>
                <w14:textFill>
                  <w14:solidFill>
                    <w14:schemeClr w14:val="tx1"/>
                  </w14:solidFill>
                </w14:textFill>
              </w:rPr>
            </w:pPr>
          </w:p>
        </w:tc>
      </w:tr>
      <w:tr w14:paraId="5559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7FE4350D">
            <w:pPr>
              <w:spacing w:line="240" w:lineRule="auto"/>
              <w:ind w:firstLine="0" w:firstLineChars="0"/>
              <w:jc w:val="center"/>
              <w:rPr>
                <w:rFonts w:hint="default" w:ascii="Times New Roman" w:hAnsi="Times New Roman" w:cs="Times New Roman"/>
                <w:b/>
                <w:bCs/>
                <w:color w:val="000000" w:themeColor="text1"/>
                <w:sz w:val="24"/>
                <w:szCs w:val="21"/>
                <w:lang w:val="en-US" w:eastAsia="zh-CN"/>
                <w14:textFill>
                  <w14:solidFill>
                    <w14:schemeClr w14:val="tx1"/>
                  </w14:solidFill>
                </w14:textFill>
              </w:rPr>
            </w:pPr>
            <w:r>
              <w:rPr>
                <w:rFonts w:hint="default" w:ascii="Times New Roman" w:hAnsi="Times New Roman" w:cs="Times New Roman"/>
                <w:b/>
                <w:bCs/>
                <w:color w:val="000000" w:themeColor="text1"/>
                <w:sz w:val="24"/>
                <w:szCs w:val="21"/>
                <w:lang w:val="en-US" w:eastAsia="zh-CN"/>
                <w14:textFill>
                  <w14:solidFill>
                    <w14:schemeClr w14:val="tx1"/>
                  </w14:solidFill>
                </w14:textFill>
              </w:rPr>
              <w:t>工业互联网平台软件</w:t>
            </w:r>
          </w:p>
        </w:tc>
        <w:tc>
          <w:tcPr>
            <w:tcW w:w="547" w:type="pct"/>
            <w:vAlign w:val="center"/>
          </w:tcPr>
          <w:p w14:paraId="3CBD89E2">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用友网络科技股份有限公司</w:t>
            </w:r>
          </w:p>
        </w:tc>
        <w:tc>
          <w:tcPr>
            <w:tcW w:w="906" w:type="pct"/>
            <w:vAlign w:val="center"/>
          </w:tcPr>
          <w:p w14:paraId="2C10D289">
            <w:pPr>
              <w:spacing w:line="240" w:lineRule="auto"/>
              <w:ind w:firstLine="0" w:firstLineChars="0"/>
              <w:rPr>
                <w:rFonts w:hint="default" w:ascii="Times New Roman" w:hAnsi="Times New Roman" w:eastAsia="仿宋_GB2312" w:cs="Times New Roman"/>
                <w:color w:val="000000" w:themeColor="text1"/>
                <w:kern w:val="2"/>
                <w:sz w:val="24"/>
                <w:szCs w:val="21"/>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1"/>
                <w:lang w:val="en-US" w:eastAsia="zh-CN" w:bidi="ar-SA"/>
                <w14:textFill>
                  <w14:solidFill>
                    <w14:schemeClr w14:val="tx1"/>
                  </w14:solidFill>
                </w14:textFill>
              </w:rPr>
              <w:t>是全球领先的企业云服务与软件提供商</w:t>
            </w:r>
            <w:r>
              <w:rPr>
                <w:rFonts w:hint="default" w:ascii="Times New Roman" w:hAnsi="Times New Roman" w:cs="Times New Roman"/>
                <w:color w:val="000000" w:themeColor="text1"/>
                <w:kern w:val="2"/>
                <w:sz w:val="24"/>
                <w:szCs w:val="21"/>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24"/>
                <w:szCs w:val="21"/>
                <w:lang w:val="en-US" w:eastAsia="zh-CN" w:bidi="ar-SA"/>
                <w14:textFill>
                  <w14:solidFill>
                    <w14:schemeClr w14:val="tx1"/>
                  </w14:solidFill>
                </w14:textFill>
              </w:rPr>
              <w:t>是全球企业级应用软件（ERP）TOP10中唯一的亚太厂商，在全球ERP SaaS市场位居亚太区厂商排名第一</w:t>
            </w:r>
            <w:r>
              <w:rPr>
                <w:rFonts w:hint="default" w:ascii="Times New Roman" w:hAnsi="Times New Roman" w:cs="Times New Roman"/>
                <w:color w:val="000000" w:themeColor="text1"/>
                <w:kern w:val="2"/>
                <w:sz w:val="24"/>
                <w:szCs w:val="21"/>
                <w:lang w:val="en-US" w:eastAsia="zh-CN" w:bidi="ar-SA"/>
                <w14:textFill>
                  <w14:solidFill>
                    <w14:schemeClr w14:val="tx1"/>
                  </w14:solidFill>
                </w14:textFill>
              </w:rPr>
              <w:t>。</w:t>
            </w:r>
          </w:p>
        </w:tc>
        <w:tc>
          <w:tcPr>
            <w:tcW w:w="429" w:type="pct"/>
            <w:vAlign w:val="center"/>
          </w:tcPr>
          <w:p w14:paraId="09085295">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北京市</w:t>
            </w:r>
          </w:p>
        </w:tc>
        <w:tc>
          <w:tcPr>
            <w:tcW w:w="793" w:type="pct"/>
            <w:vAlign w:val="center"/>
          </w:tcPr>
          <w:p w14:paraId="7FDF2923">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拥有全球领先技术及企业数智化服务和软件国产化自主创新的领导品牌，企业在全球布局超200个分支机构，对外投资能力强劲。</w:t>
            </w:r>
          </w:p>
        </w:tc>
        <w:tc>
          <w:tcPr>
            <w:tcW w:w="1055" w:type="pct"/>
            <w:vAlign w:val="center"/>
          </w:tcPr>
          <w:p w14:paraId="1E10E785">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1.云ERP，包括大型、中型、小微型等不同层级ERP。</w:t>
            </w:r>
          </w:p>
          <w:p w14:paraId="7F9D9B51">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2.产品研发管理平台，如PLM。</w:t>
            </w:r>
          </w:p>
          <w:p w14:paraId="69DE6E33">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3.云平台，如企业云、行业云等。</w:t>
            </w:r>
          </w:p>
        </w:tc>
        <w:tc>
          <w:tcPr>
            <w:tcW w:w="797" w:type="pct"/>
            <w:vMerge w:val="continue"/>
            <w:vAlign w:val="center"/>
          </w:tcPr>
          <w:p w14:paraId="66672455">
            <w:pPr>
              <w:spacing w:line="240" w:lineRule="auto"/>
              <w:ind w:firstLine="0" w:firstLineChars="0"/>
              <w:rPr>
                <w:rFonts w:hint="default" w:ascii="Times New Roman" w:hAnsi="Times New Roman" w:eastAsia="仿宋_GB2312" w:cs="Times New Roman"/>
                <w:color w:val="000000" w:themeColor="text1"/>
                <w:kern w:val="2"/>
                <w:sz w:val="24"/>
                <w:szCs w:val="21"/>
                <w:lang w:val="en-US" w:eastAsia="zh-CN" w:bidi="ar-SA"/>
                <w14:textFill>
                  <w14:solidFill>
                    <w14:schemeClr w14:val="tx1"/>
                  </w14:solidFill>
                </w14:textFill>
              </w:rPr>
            </w:pPr>
          </w:p>
        </w:tc>
      </w:tr>
      <w:tr w14:paraId="51BA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175DF390">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能碳及生态环境监管软件</w:t>
            </w:r>
          </w:p>
        </w:tc>
        <w:tc>
          <w:tcPr>
            <w:tcW w:w="547" w:type="pct"/>
            <w:vAlign w:val="center"/>
          </w:tcPr>
          <w:p w14:paraId="57D693BB">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安徽省安泰科技股份有限公司</w:t>
            </w:r>
          </w:p>
        </w:tc>
        <w:tc>
          <w:tcPr>
            <w:tcW w:w="906" w:type="pct"/>
            <w:vAlign w:val="center"/>
          </w:tcPr>
          <w:p w14:paraId="0767A6A2">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智慧能源板块包括数据融汇平台搭建、能源资源在线监测、能耗数据分析等业务。</w:t>
            </w:r>
          </w:p>
        </w:tc>
        <w:tc>
          <w:tcPr>
            <w:tcW w:w="429" w:type="pct"/>
            <w:vAlign w:val="center"/>
          </w:tcPr>
          <w:p w14:paraId="4C2281D5">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安徽省合肥市</w:t>
            </w:r>
          </w:p>
        </w:tc>
        <w:tc>
          <w:tcPr>
            <w:tcW w:w="793" w:type="pct"/>
            <w:vAlign w:val="center"/>
          </w:tcPr>
          <w:p w14:paraId="10B1D9C8">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拥有近200项专利、软件著作权，具备较强的创新实力。</w:t>
            </w:r>
          </w:p>
        </w:tc>
        <w:tc>
          <w:tcPr>
            <w:tcW w:w="1055" w:type="pct"/>
            <w:vAlign w:val="center"/>
          </w:tcPr>
          <w:p w14:paraId="370A57F0">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1.智慧能源，如能源管理、节能监管、能源大数据平台等系统。</w:t>
            </w:r>
          </w:p>
          <w:p w14:paraId="44E41CFE">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2.低碳运营，如生态支撑系统、能效管理业务服务系统等。</w:t>
            </w:r>
          </w:p>
        </w:tc>
        <w:tc>
          <w:tcPr>
            <w:tcW w:w="797" w:type="pct"/>
            <w:vMerge w:val="restart"/>
            <w:vAlign w:val="center"/>
          </w:tcPr>
          <w:p w14:paraId="000575AF">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大力开放能碳、生态环境智能监测应用场景，以场景开放吸引企业落地布局；</w:t>
            </w:r>
            <w:r>
              <w:rPr>
                <w:rFonts w:hint="default" w:ascii="Times New Roman" w:hAnsi="Times New Roman" w:cs="Times New Roman"/>
                <w:color w:val="000000" w:themeColor="text1"/>
                <w:sz w:val="24"/>
                <w:szCs w:val="21"/>
                <w14:textFill>
                  <w14:solidFill>
                    <w14:schemeClr w14:val="tx1"/>
                  </w14:solidFill>
                </w14:textFill>
              </w:rPr>
              <w:t>依托黄山市招商引资管理平台，定期发布本市招商政策、行业发展需求等，引导意向企业来黄山设立区域性总部、服务中心、业务板块分支机构等</w:t>
            </w:r>
            <w:r>
              <w:rPr>
                <w:rFonts w:hint="default" w:ascii="Times New Roman" w:hAnsi="Times New Roman" w:cs="Times New Roman"/>
                <w:color w:val="000000" w:themeColor="text1"/>
                <w:sz w:val="24"/>
                <w:szCs w:val="21"/>
                <w:lang w:eastAsia="zh-CN"/>
                <w14:textFill>
                  <w14:solidFill>
                    <w14:schemeClr w14:val="tx1"/>
                  </w14:solidFill>
                </w14:textFill>
              </w:rPr>
              <w:t>；</w:t>
            </w:r>
            <w:r>
              <w:rPr>
                <w:rFonts w:hint="default" w:ascii="Times New Roman" w:hAnsi="Times New Roman" w:cs="Times New Roman"/>
                <w:color w:val="000000" w:themeColor="text1"/>
                <w:sz w:val="24"/>
                <w:szCs w:val="21"/>
                <w14:textFill>
                  <w14:solidFill>
                    <w14:schemeClr w14:val="tx1"/>
                  </w14:solidFill>
                </w14:textFill>
              </w:rPr>
              <w:t>依托黄山学院及各类交流合作平台开展招商对接会，争取校友企业、本市籍企业等知名软件企业落户发展。</w:t>
            </w:r>
          </w:p>
        </w:tc>
      </w:tr>
      <w:tr w14:paraId="5ADF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2393C900">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能碳及生态环境监管软件</w:t>
            </w:r>
          </w:p>
        </w:tc>
        <w:tc>
          <w:tcPr>
            <w:tcW w:w="547" w:type="pct"/>
            <w:vAlign w:val="center"/>
          </w:tcPr>
          <w:p w14:paraId="303C34CC">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杭州探链网络科技有限公司</w:t>
            </w:r>
          </w:p>
        </w:tc>
        <w:tc>
          <w:tcPr>
            <w:tcW w:w="906" w:type="pct"/>
            <w:vAlign w:val="center"/>
          </w:tcPr>
          <w:p w14:paraId="369C2064">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主要产品包括碳排放管理系统、产品碳足迹管理系统、碳减排管理系统等。</w:t>
            </w:r>
          </w:p>
        </w:tc>
        <w:tc>
          <w:tcPr>
            <w:tcW w:w="429" w:type="pct"/>
            <w:vAlign w:val="center"/>
          </w:tcPr>
          <w:p w14:paraId="097AC24F">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浙江省杭州市</w:t>
            </w:r>
          </w:p>
        </w:tc>
        <w:tc>
          <w:tcPr>
            <w:tcW w:w="793" w:type="pct"/>
            <w:vAlign w:val="center"/>
          </w:tcPr>
          <w:p w14:paraId="2BBF7A34">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上海环交所碳中和联盟核心成员、联合国气候链联盟备案成员，具备较强的发展实力。</w:t>
            </w:r>
          </w:p>
        </w:tc>
        <w:tc>
          <w:tcPr>
            <w:tcW w:w="1055" w:type="pct"/>
            <w:vAlign w:val="center"/>
          </w:tcPr>
          <w:p w14:paraId="07AAB3F4">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SaaS产品，如碳排放管理系统、碳减排管理系统、产品碳足迹管理系统等。</w:t>
            </w:r>
          </w:p>
        </w:tc>
        <w:tc>
          <w:tcPr>
            <w:tcW w:w="797" w:type="pct"/>
            <w:vMerge w:val="continue"/>
            <w:vAlign w:val="center"/>
          </w:tcPr>
          <w:p w14:paraId="53DC8B92">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5A59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6C348BEB">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能碳及生态环境监管软件</w:t>
            </w:r>
          </w:p>
        </w:tc>
        <w:tc>
          <w:tcPr>
            <w:tcW w:w="547" w:type="pct"/>
            <w:vAlign w:val="center"/>
          </w:tcPr>
          <w:p w14:paraId="4657B5DC">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上海上实龙创智能科技股份有限公司</w:t>
            </w:r>
          </w:p>
        </w:tc>
        <w:tc>
          <w:tcPr>
            <w:tcW w:w="906" w:type="pct"/>
            <w:vAlign w:val="center"/>
          </w:tcPr>
          <w:p w14:paraId="0F50B967">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智慧节能业务板块包括能源使用状况监控、能源使用预警等。</w:t>
            </w:r>
          </w:p>
        </w:tc>
        <w:tc>
          <w:tcPr>
            <w:tcW w:w="429" w:type="pct"/>
            <w:vAlign w:val="center"/>
          </w:tcPr>
          <w:p w14:paraId="07AA6F64">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上海市</w:t>
            </w:r>
          </w:p>
        </w:tc>
        <w:tc>
          <w:tcPr>
            <w:tcW w:w="793" w:type="pct"/>
            <w:vAlign w:val="center"/>
          </w:tcPr>
          <w:p w14:paraId="794BC79F">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企业拥有400余项专利、软件著作权等知识产权，创新实力雄厚。</w:t>
            </w:r>
          </w:p>
        </w:tc>
        <w:tc>
          <w:tcPr>
            <w:tcW w:w="1055" w:type="pct"/>
            <w:vAlign w:val="center"/>
          </w:tcPr>
          <w:p w14:paraId="07FA5C85">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1.智慧节能，如综合管理平台系统等。</w:t>
            </w:r>
          </w:p>
          <w:p w14:paraId="5CE3F45B">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2.数字化运营服务，如企业数字化管理、运营系统等。</w:t>
            </w:r>
          </w:p>
        </w:tc>
        <w:tc>
          <w:tcPr>
            <w:tcW w:w="797" w:type="pct"/>
            <w:vMerge w:val="continue"/>
            <w:vAlign w:val="center"/>
          </w:tcPr>
          <w:p w14:paraId="5E07E31F">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7638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7" w:hRule="atLeast"/>
          <w:jc w:val="center"/>
        </w:trPr>
        <w:tc>
          <w:tcPr>
            <w:tcW w:w="470" w:type="pct"/>
            <w:vAlign w:val="center"/>
          </w:tcPr>
          <w:p w14:paraId="48522215">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大数据及云计算服务</w:t>
            </w:r>
          </w:p>
        </w:tc>
        <w:tc>
          <w:tcPr>
            <w:tcW w:w="547" w:type="pct"/>
            <w:vAlign w:val="center"/>
          </w:tcPr>
          <w:p w14:paraId="422D4DA6">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北京东方国信科技股份有限公司</w:t>
            </w:r>
          </w:p>
        </w:tc>
        <w:tc>
          <w:tcPr>
            <w:tcW w:w="906" w:type="pct"/>
            <w:vAlign w:val="center"/>
          </w:tcPr>
          <w:p w14:paraId="4DBD7E14">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大数据采集、汇聚、处理、存储、分析、挖掘、应用、管控为一体</w:t>
            </w:r>
            <w:r>
              <w:rPr>
                <w:rFonts w:hint="default" w:ascii="Times New Roman" w:hAnsi="Times New Roman" w:cs="Times New Roman"/>
                <w:color w:val="000000" w:themeColor="text1"/>
                <w:sz w:val="24"/>
                <w:szCs w:val="21"/>
                <w:lang w:val="en-US" w:eastAsia="zh-CN"/>
                <w14:textFill>
                  <w14:solidFill>
                    <w14:schemeClr w14:val="tx1"/>
                  </w14:solidFill>
                </w14:textFill>
              </w:rPr>
              <w:t>企业</w:t>
            </w:r>
          </w:p>
        </w:tc>
        <w:tc>
          <w:tcPr>
            <w:tcW w:w="429" w:type="pct"/>
            <w:vAlign w:val="center"/>
          </w:tcPr>
          <w:p w14:paraId="4A2DEE7A">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北京市</w:t>
            </w:r>
          </w:p>
        </w:tc>
        <w:tc>
          <w:tcPr>
            <w:tcW w:w="793" w:type="pct"/>
            <w:vAlign w:val="center"/>
          </w:tcPr>
          <w:p w14:paraId="428E2518">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企业是专注于大数据、云计算等领域核心技术的高科技软件企业，拥有高新技术人才团队，与国内外众多高校及科研机构合作，拥有众多技术转化成果，技术、人才、创新成果等资源优越，可积极对接争取引入。</w:t>
            </w:r>
          </w:p>
        </w:tc>
        <w:tc>
          <w:tcPr>
            <w:tcW w:w="1055" w:type="pct"/>
            <w:vAlign w:val="center"/>
          </w:tcPr>
          <w:p w14:paraId="0D8A3FF1">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w:t>
            </w:r>
            <w:r>
              <w:rPr>
                <w:rFonts w:hint="default" w:ascii="Times New Roman" w:hAnsi="Times New Roman" w:cs="Times New Roman"/>
                <w:color w:val="000000" w:themeColor="text1"/>
                <w:sz w:val="24"/>
                <w:szCs w:val="21"/>
                <w14:textFill>
                  <w14:solidFill>
                    <w14:schemeClr w14:val="tx1"/>
                  </w14:solidFill>
                </w14:textFill>
              </w:rPr>
              <w:t>大数据产品及解决方案</w:t>
            </w:r>
            <w:r>
              <w:rPr>
                <w:rFonts w:hint="default" w:ascii="Times New Roman" w:hAnsi="Times New Roman" w:cs="Times New Roman"/>
                <w:color w:val="000000" w:themeColor="text1"/>
                <w:sz w:val="24"/>
                <w:szCs w:val="21"/>
                <w:lang w:eastAsia="zh-CN"/>
                <w14:textFill>
                  <w14:solidFill>
                    <w14:schemeClr w14:val="tx1"/>
                  </w14:solidFill>
                </w14:textFill>
              </w:rPr>
              <w:t>，</w:t>
            </w:r>
            <w:r>
              <w:rPr>
                <w:rFonts w:hint="default" w:ascii="Times New Roman" w:hAnsi="Times New Roman" w:cs="Times New Roman"/>
                <w:color w:val="000000" w:themeColor="text1"/>
                <w:sz w:val="24"/>
                <w:szCs w:val="21"/>
                <w:lang w:val="en-US" w:eastAsia="zh-CN"/>
                <w14:textFill>
                  <w14:solidFill>
                    <w14:schemeClr w14:val="tx1"/>
                  </w14:solidFill>
                </w14:textFill>
              </w:rPr>
              <w:t>如</w:t>
            </w:r>
            <w:r>
              <w:rPr>
                <w:rFonts w:hint="default" w:ascii="Times New Roman" w:hAnsi="Times New Roman" w:cs="Times New Roman"/>
                <w:color w:val="000000" w:themeColor="text1"/>
                <w:sz w:val="24"/>
                <w:szCs w:val="21"/>
                <w14:textFill>
                  <w14:solidFill>
                    <w14:schemeClr w14:val="tx1"/>
                  </w14:solidFill>
                </w14:textFill>
              </w:rPr>
              <w:t>分布式数据库</w:t>
            </w:r>
            <w:r>
              <w:rPr>
                <w:rFonts w:hint="default" w:ascii="Times New Roman" w:hAnsi="Times New Roman" w:cs="Times New Roman"/>
                <w:color w:val="000000" w:themeColor="text1"/>
                <w:sz w:val="24"/>
                <w:szCs w:val="21"/>
                <w:lang w:val="en-US" w:eastAsia="zh-CN"/>
                <w14:textFill>
                  <w14:solidFill>
                    <w14:schemeClr w14:val="tx1"/>
                  </w14:solidFill>
                </w14:textFill>
              </w:rPr>
              <w:t>等。</w:t>
            </w:r>
          </w:p>
          <w:p w14:paraId="436F8036">
            <w:pPr>
              <w:spacing w:line="240" w:lineRule="auto"/>
              <w:ind w:firstLine="0" w:firstLineChars="0"/>
              <w:rPr>
                <w:rFonts w:hint="default" w:ascii="Times New Roman" w:hAnsi="Times New Roman" w:eastAsia="仿宋_GB2312" w:cs="Times New Roman"/>
                <w:color w:val="000000" w:themeColor="text1"/>
                <w:sz w:val="24"/>
                <w:szCs w:val="21"/>
                <w:lang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w:t>
            </w:r>
            <w:r>
              <w:rPr>
                <w:rFonts w:hint="default" w:ascii="Times New Roman" w:hAnsi="Times New Roman" w:cs="Times New Roman"/>
                <w:color w:val="000000" w:themeColor="text1"/>
                <w:sz w:val="24"/>
                <w:szCs w:val="21"/>
                <w14:textFill>
                  <w14:solidFill>
                    <w14:schemeClr w14:val="tx1"/>
                  </w14:solidFill>
                </w14:textFill>
              </w:rPr>
              <w:t>工业互联网、云计算、5G等技术领域</w:t>
            </w:r>
            <w:r>
              <w:rPr>
                <w:rFonts w:hint="default" w:ascii="Times New Roman" w:hAnsi="Times New Roman" w:cs="Times New Roman"/>
                <w:color w:val="000000" w:themeColor="text1"/>
                <w:sz w:val="24"/>
                <w:szCs w:val="21"/>
                <w:lang w:eastAsia="zh-CN"/>
                <w14:textFill>
                  <w14:solidFill>
                    <w14:schemeClr w14:val="tx1"/>
                  </w14:solidFill>
                </w14:textFill>
              </w:rPr>
              <w:t>。</w:t>
            </w:r>
          </w:p>
        </w:tc>
        <w:tc>
          <w:tcPr>
            <w:tcW w:w="797" w:type="pct"/>
            <w:vMerge w:val="restart"/>
            <w:vAlign w:val="center"/>
          </w:tcPr>
          <w:p w14:paraId="67881274">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开放政府和城市数据应用场景，加强对经过脱敏等安全处理的数据资源管理、开发和应用支持力度，吸引企业落地布局；</w:t>
            </w:r>
            <w:r>
              <w:rPr>
                <w:rFonts w:hint="default" w:ascii="Times New Roman" w:hAnsi="Times New Roman" w:cs="Times New Roman"/>
                <w:color w:val="000000" w:themeColor="text1"/>
                <w:sz w:val="24"/>
                <w:szCs w:val="21"/>
                <w14:textFill>
                  <w14:solidFill>
                    <w14:schemeClr w14:val="tx1"/>
                  </w14:solidFill>
                </w14:textFill>
              </w:rPr>
              <w:t>深入对接杭州、上海、南京等地软件产业资源，通过税收减免、一次性落户补贴、场地租金免除等方式，加快大数据及云计算优质企业与重大项目落地</w:t>
            </w:r>
            <w:r>
              <w:rPr>
                <w:rFonts w:hint="default" w:ascii="Times New Roman" w:hAnsi="Times New Roman" w:cs="Times New Roman"/>
                <w:color w:val="000000" w:themeColor="text1"/>
                <w:sz w:val="24"/>
                <w:szCs w:val="21"/>
                <w:lang w:eastAsia="zh-CN"/>
                <w14:textFill>
                  <w14:solidFill>
                    <w14:schemeClr w14:val="tx1"/>
                  </w14:solidFill>
                </w14:textFill>
              </w:rPr>
              <w:t>；</w:t>
            </w:r>
            <w:r>
              <w:rPr>
                <w:rFonts w:hint="default" w:ascii="Times New Roman" w:hAnsi="Times New Roman" w:cs="Times New Roman"/>
                <w:color w:val="000000" w:themeColor="text1"/>
                <w:sz w:val="24"/>
                <w:szCs w:val="21"/>
                <w14:textFill>
                  <w14:solidFill>
                    <w14:schemeClr w14:val="tx1"/>
                  </w14:solidFill>
                </w14:textFill>
              </w:rPr>
              <w:t>依托黄山市招商引资管理平台，定期发布本市招商政策、政府软件和信息服务项目和行业发展需求等，引导意向企业来黄山设立区域性总部、服务中心、业务板块分支机构等</w:t>
            </w:r>
            <w:r>
              <w:rPr>
                <w:rFonts w:hint="default" w:ascii="Times New Roman" w:hAnsi="Times New Roman" w:cs="Times New Roman"/>
                <w:color w:val="000000" w:themeColor="text1"/>
                <w:sz w:val="24"/>
                <w:szCs w:val="21"/>
                <w:lang w:eastAsia="zh-CN"/>
                <w14:textFill>
                  <w14:solidFill>
                    <w14:schemeClr w14:val="tx1"/>
                  </w14:solidFill>
                </w14:textFill>
              </w:rPr>
              <w:t>；</w:t>
            </w:r>
            <w:r>
              <w:rPr>
                <w:rFonts w:hint="default" w:ascii="Times New Roman" w:hAnsi="Times New Roman" w:cs="Times New Roman"/>
                <w:color w:val="000000" w:themeColor="text1"/>
                <w:sz w:val="24"/>
                <w:szCs w:val="21"/>
                <w14:textFill>
                  <w14:solidFill>
                    <w14:schemeClr w14:val="tx1"/>
                  </w14:solidFill>
                </w14:textFill>
              </w:rPr>
              <w:t>依托黄山学院及各类交流合作平台开展招商对接会，争取校友企业、本市籍企业等知名软件企业落户发展。</w:t>
            </w:r>
          </w:p>
        </w:tc>
      </w:tr>
      <w:tr w14:paraId="05C4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551338BF">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大数据及云计算服务</w:t>
            </w:r>
          </w:p>
        </w:tc>
        <w:tc>
          <w:tcPr>
            <w:tcW w:w="547" w:type="pct"/>
            <w:vAlign w:val="center"/>
          </w:tcPr>
          <w:p w14:paraId="5252C9B7">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华为技术有限公司</w:t>
            </w:r>
          </w:p>
        </w:tc>
        <w:tc>
          <w:tcPr>
            <w:tcW w:w="906" w:type="pct"/>
            <w:vAlign w:val="center"/>
          </w:tcPr>
          <w:p w14:paraId="089F5669">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云计算解决方案供应商。</w:t>
            </w:r>
          </w:p>
        </w:tc>
        <w:tc>
          <w:tcPr>
            <w:tcW w:w="429" w:type="pct"/>
            <w:vAlign w:val="center"/>
          </w:tcPr>
          <w:p w14:paraId="289D5AF2">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广东省深圳市</w:t>
            </w:r>
          </w:p>
        </w:tc>
        <w:tc>
          <w:tcPr>
            <w:tcW w:w="793" w:type="pct"/>
            <w:vAlign w:val="center"/>
          </w:tcPr>
          <w:p w14:paraId="14114338">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黄山市与华为在智慧城市具备战略合作基础，可争取来黄山设立分公司，布局大数据及云计算新项目。</w:t>
            </w:r>
          </w:p>
        </w:tc>
        <w:tc>
          <w:tcPr>
            <w:tcW w:w="1055" w:type="pct"/>
            <w:vAlign w:val="center"/>
          </w:tcPr>
          <w:p w14:paraId="39E32C39">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1.云计算服务平台。</w:t>
            </w:r>
          </w:p>
          <w:p w14:paraId="4D4C64B3">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2.存储，如分布式存储、集中式存储等。</w:t>
            </w:r>
          </w:p>
        </w:tc>
        <w:tc>
          <w:tcPr>
            <w:tcW w:w="797" w:type="pct"/>
            <w:vMerge w:val="continue"/>
            <w:vAlign w:val="center"/>
          </w:tcPr>
          <w:p w14:paraId="426533A8">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1E9C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7F6CB22D">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大数据及云计算服务</w:t>
            </w:r>
          </w:p>
        </w:tc>
        <w:tc>
          <w:tcPr>
            <w:tcW w:w="547" w:type="pct"/>
            <w:vAlign w:val="center"/>
          </w:tcPr>
          <w:p w14:paraId="567851C0">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珍岛信息技术（上海）股份有限公司</w:t>
            </w:r>
          </w:p>
        </w:tc>
        <w:tc>
          <w:tcPr>
            <w:tcW w:w="906" w:type="pct"/>
            <w:vAlign w:val="center"/>
          </w:tcPr>
          <w:p w14:paraId="437EFA0A">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智能营销云平台，数字营销技术、产品、资源、服务。</w:t>
            </w:r>
          </w:p>
        </w:tc>
        <w:tc>
          <w:tcPr>
            <w:tcW w:w="429" w:type="pct"/>
            <w:vAlign w:val="center"/>
          </w:tcPr>
          <w:p w14:paraId="1A5C82CA">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上海市</w:t>
            </w:r>
          </w:p>
        </w:tc>
        <w:tc>
          <w:tcPr>
            <w:tcW w:w="793" w:type="pct"/>
            <w:vAlign w:val="center"/>
          </w:tcPr>
          <w:p w14:paraId="1A1B19AD">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中国领先的智能营销云平台开发商，在无锡、杭州、苏州、成都等地设立分公司，争取对接引进，做大智能营销领域。</w:t>
            </w:r>
          </w:p>
        </w:tc>
        <w:tc>
          <w:tcPr>
            <w:tcW w:w="1055" w:type="pct"/>
            <w:vAlign w:val="center"/>
          </w:tcPr>
          <w:p w14:paraId="320A4564">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1.大数据，如大数据计算服务系统、大数据集成系统、数据资源平台等。</w:t>
            </w:r>
          </w:p>
          <w:p w14:paraId="1DA902B2">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2.云计算服务，如弹力计算、存储、安全等方面的云计算服务软件。</w:t>
            </w:r>
          </w:p>
        </w:tc>
        <w:tc>
          <w:tcPr>
            <w:tcW w:w="797" w:type="pct"/>
            <w:vMerge w:val="continue"/>
            <w:vAlign w:val="center"/>
          </w:tcPr>
          <w:p w14:paraId="32A7AC38">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08F7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2A77CBA0">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区块链软件</w:t>
            </w:r>
          </w:p>
        </w:tc>
        <w:tc>
          <w:tcPr>
            <w:tcW w:w="547" w:type="pct"/>
            <w:vAlign w:val="center"/>
          </w:tcPr>
          <w:p w14:paraId="3B5F2344">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蚂蚁科技集团股份有限公司</w:t>
            </w:r>
          </w:p>
        </w:tc>
        <w:tc>
          <w:tcPr>
            <w:tcW w:w="906" w:type="pct"/>
            <w:vAlign w:val="center"/>
          </w:tcPr>
          <w:p w14:paraId="0AB73544">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区块链领域龙头企业，提供区块链溯源整体解决方案。</w:t>
            </w:r>
          </w:p>
        </w:tc>
        <w:tc>
          <w:tcPr>
            <w:tcW w:w="429" w:type="pct"/>
            <w:vAlign w:val="center"/>
          </w:tcPr>
          <w:p w14:paraId="7E18E814">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浙江省杭州市</w:t>
            </w:r>
          </w:p>
        </w:tc>
        <w:tc>
          <w:tcPr>
            <w:tcW w:w="793" w:type="pct"/>
            <w:vAlign w:val="center"/>
          </w:tcPr>
          <w:p w14:paraId="0AC62B5B">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黄山市与蚂蚁集团具备战略合作基础，企业与六百里猴魁共建基于区块链的农产品综合服务平台，可争取来黄山市设立分支机构，加快推进区块链溯源技术在黄山应用。</w:t>
            </w:r>
          </w:p>
        </w:tc>
        <w:tc>
          <w:tcPr>
            <w:tcW w:w="1055" w:type="pct"/>
            <w:vAlign w:val="center"/>
          </w:tcPr>
          <w:p w14:paraId="6A63C1D2">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数据支付、数字互联、数字金融、数字科技等区块链应用领域。</w:t>
            </w:r>
          </w:p>
        </w:tc>
        <w:tc>
          <w:tcPr>
            <w:tcW w:w="797" w:type="pct"/>
            <w:vMerge w:val="restart"/>
            <w:vAlign w:val="center"/>
          </w:tcPr>
          <w:p w14:paraId="6D8769E0">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大力开放金融、交通、城市等领域应用场景，定期发布区块链应用领域需求清单，以场景开放吸引企业落地布局；</w:t>
            </w:r>
            <w:r>
              <w:rPr>
                <w:rFonts w:hint="default" w:ascii="Times New Roman" w:hAnsi="Times New Roman" w:cs="Times New Roman"/>
                <w:color w:val="000000" w:themeColor="text1"/>
                <w:sz w:val="24"/>
                <w:szCs w:val="21"/>
                <w14:textFill>
                  <w14:solidFill>
                    <w14:schemeClr w14:val="tx1"/>
                  </w14:solidFill>
                </w14:textFill>
              </w:rPr>
              <w:t>深入对接杭州、上海、南京等地软件产业资源，通过税收减免、一次性落户补贴、场地租金免除等方式，加快区块链</w:t>
            </w:r>
            <w:r>
              <w:rPr>
                <w:rFonts w:hint="default" w:ascii="Times New Roman" w:hAnsi="Times New Roman" w:cs="Times New Roman"/>
                <w:color w:val="000000" w:themeColor="text1"/>
                <w:sz w:val="24"/>
                <w:szCs w:val="21"/>
                <w:lang w:val="en-US" w:eastAsia="zh-CN"/>
                <w14:textFill>
                  <w14:solidFill>
                    <w14:schemeClr w14:val="tx1"/>
                  </w14:solidFill>
                </w14:textFill>
              </w:rPr>
              <w:t>领域</w:t>
            </w:r>
            <w:r>
              <w:rPr>
                <w:rFonts w:hint="default" w:ascii="Times New Roman" w:hAnsi="Times New Roman" w:cs="Times New Roman"/>
                <w:color w:val="000000" w:themeColor="text1"/>
                <w:sz w:val="24"/>
                <w:szCs w:val="21"/>
                <w14:textFill>
                  <w14:solidFill>
                    <w14:schemeClr w14:val="tx1"/>
                  </w14:solidFill>
                </w14:textFill>
              </w:rPr>
              <w:t>优质企业与重大项目落地</w:t>
            </w:r>
            <w:r>
              <w:rPr>
                <w:rFonts w:hint="default" w:ascii="Times New Roman" w:hAnsi="Times New Roman" w:cs="Times New Roman"/>
                <w:color w:val="000000" w:themeColor="text1"/>
                <w:sz w:val="24"/>
                <w:szCs w:val="21"/>
                <w:lang w:eastAsia="zh-CN"/>
                <w14:textFill>
                  <w14:solidFill>
                    <w14:schemeClr w14:val="tx1"/>
                  </w14:solidFill>
                </w14:textFill>
              </w:rPr>
              <w:t>；</w:t>
            </w:r>
            <w:r>
              <w:rPr>
                <w:rFonts w:hint="default" w:ascii="Times New Roman" w:hAnsi="Times New Roman" w:cs="Times New Roman"/>
                <w:color w:val="000000" w:themeColor="text1"/>
                <w:sz w:val="24"/>
                <w:szCs w:val="21"/>
                <w14:textFill>
                  <w14:solidFill>
                    <w14:schemeClr w14:val="tx1"/>
                  </w14:solidFill>
                </w14:textFill>
              </w:rPr>
              <w:t>依托黄山学院及各类交流合作平台开展招商对接会，争取校友企业、本市籍企业等知名软件企业落户发展。</w:t>
            </w:r>
          </w:p>
        </w:tc>
      </w:tr>
      <w:tr w14:paraId="0D41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358E5071">
            <w:pPr>
              <w:spacing w:line="240" w:lineRule="auto"/>
              <w:ind w:firstLine="0" w:firstLineChars="0"/>
              <w:jc w:val="center"/>
              <w:rPr>
                <w:rFonts w:hint="default" w:ascii="Times New Roman" w:hAnsi="Times New Roman" w:cs="Times New Roman"/>
                <w:b/>
                <w:bCs/>
                <w:color w:val="000000" w:themeColor="text1"/>
                <w:sz w:val="24"/>
                <w:szCs w:val="21"/>
                <w14:textFill>
                  <w14:solidFill>
                    <w14:schemeClr w14:val="tx1"/>
                  </w14:solidFill>
                </w14:textFill>
              </w:rPr>
            </w:pPr>
            <w:r>
              <w:rPr>
                <w:rFonts w:hint="default" w:ascii="Times New Roman" w:hAnsi="Times New Roman" w:cs="Times New Roman"/>
                <w:b/>
                <w:bCs/>
                <w:color w:val="000000" w:themeColor="text1"/>
                <w:sz w:val="24"/>
                <w:szCs w:val="21"/>
                <w14:textFill>
                  <w14:solidFill>
                    <w14:schemeClr w14:val="tx1"/>
                  </w14:solidFill>
                </w14:textFill>
              </w:rPr>
              <w:t>区块链软件</w:t>
            </w:r>
          </w:p>
        </w:tc>
        <w:tc>
          <w:tcPr>
            <w:tcW w:w="547" w:type="pct"/>
            <w:vAlign w:val="center"/>
          </w:tcPr>
          <w:p w14:paraId="091269B2">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上海万向区块链股份公司</w:t>
            </w:r>
          </w:p>
        </w:tc>
        <w:tc>
          <w:tcPr>
            <w:tcW w:w="906" w:type="pct"/>
            <w:vAlign w:val="center"/>
          </w:tcPr>
          <w:p w14:paraId="52FEC1DC">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利用区块链技术提供分布式认知工业互联网、资产数字化等解决方案。</w:t>
            </w:r>
          </w:p>
        </w:tc>
        <w:tc>
          <w:tcPr>
            <w:tcW w:w="429" w:type="pct"/>
            <w:vAlign w:val="center"/>
          </w:tcPr>
          <w:p w14:paraId="5099C767">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上海市</w:t>
            </w:r>
          </w:p>
        </w:tc>
        <w:tc>
          <w:tcPr>
            <w:tcW w:w="793" w:type="pct"/>
            <w:vAlign w:val="center"/>
          </w:tcPr>
          <w:p w14:paraId="54CA4CAE">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在苏州设有分支机构，长三角区域投资活跃度高；拥有200余项知识产权，具备较强的创新实力。</w:t>
            </w:r>
          </w:p>
        </w:tc>
        <w:tc>
          <w:tcPr>
            <w:tcW w:w="1055" w:type="pct"/>
            <w:vAlign w:val="center"/>
          </w:tcPr>
          <w:p w14:paraId="56CB487E">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区块链解决方案和产品</w:t>
            </w:r>
            <w:r>
              <w:rPr>
                <w:rFonts w:hint="default" w:ascii="Times New Roman" w:hAnsi="Times New Roman" w:cs="Times New Roman"/>
                <w:color w:val="000000" w:themeColor="text1"/>
                <w:sz w:val="24"/>
                <w:szCs w:val="21"/>
                <w:lang w:eastAsia="zh-CN"/>
                <w14:textFill>
                  <w14:solidFill>
                    <w14:schemeClr w14:val="tx1"/>
                  </w14:solidFill>
                </w14:textFill>
              </w:rPr>
              <w:t>，</w:t>
            </w:r>
            <w:r>
              <w:rPr>
                <w:rFonts w:hint="default" w:ascii="Times New Roman" w:hAnsi="Times New Roman" w:cs="Times New Roman"/>
                <w:color w:val="000000" w:themeColor="text1"/>
                <w:sz w:val="24"/>
                <w:szCs w:val="21"/>
                <w:lang w:val="en-US" w:eastAsia="zh-CN"/>
                <w14:textFill>
                  <w14:solidFill>
                    <w14:schemeClr w14:val="tx1"/>
                  </w14:solidFill>
                </w14:textFill>
              </w:rPr>
              <w:t>主要集中在数字金融、乡村振兴、数字城市基础设施、元宇宙等方面的区块链应用服务。</w:t>
            </w:r>
          </w:p>
        </w:tc>
        <w:tc>
          <w:tcPr>
            <w:tcW w:w="797" w:type="pct"/>
            <w:vMerge w:val="continue"/>
            <w:vAlign w:val="center"/>
          </w:tcPr>
          <w:p w14:paraId="366F0AD5">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r w14:paraId="68D3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14:paraId="017E6639">
            <w:pPr>
              <w:spacing w:line="240" w:lineRule="auto"/>
              <w:ind w:firstLine="0" w:firstLineChars="0"/>
              <w:jc w:val="center"/>
              <w:rPr>
                <w:rFonts w:hint="default" w:ascii="Times New Roman" w:hAnsi="Times New Roman" w:eastAsia="仿宋_GB2312" w:cs="Times New Roman"/>
                <w:b/>
                <w:bCs/>
                <w:color w:val="000000" w:themeColor="text1"/>
                <w:sz w:val="24"/>
                <w:szCs w:val="21"/>
                <w:lang w:val="en-US" w:eastAsia="zh-CN"/>
                <w14:textFill>
                  <w14:solidFill>
                    <w14:schemeClr w14:val="tx1"/>
                  </w14:solidFill>
                </w14:textFill>
              </w:rPr>
            </w:pPr>
            <w:r>
              <w:rPr>
                <w:rFonts w:hint="default" w:ascii="Times New Roman" w:hAnsi="Times New Roman" w:cs="Times New Roman"/>
                <w:b/>
                <w:bCs/>
                <w:color w:val="000000" w:themeColor="text1"/>
                <w:sz w:val="24"/>
                <w:szCs w:val="21"/>
                <w:lang w:val="en-US" w:eastAsia="zh-CN"/>
                <w14:textFill>
                  <w14:solidFill>
                    <w14:schemeClr w14:val="tx1"/>
                  </w14:solidFill>
                </w14:textFill>
              </w:rPr>
              <w:t>区块链软件</w:t>
            </w:r>
          </w:p>
        </w:tc>
        <w:tc>
          <w:tcPr>
            <w:tcW w:w="547" w:type="pct"/>
            <w:vAlign w:val="center"/>
          </w:tcPr>
          <w:p w14:paraId="707498EF">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杭州云象网络技术有限公司</w:t>
            </w:r>
          </w:p>
        </w:tc>
        <w:tc>
          <w:tcPr>
            <w:tcW w:w="906" w:type="pct"/>
            <w:vAlign w:val="center"/>
          </w:tcPr>
          <w:p w14:paraId="1F237A2A">
            <w:pPr>
              <w:spacing w:line="240" w:lineRule="auto"/>
              <w:ind w:firstLine="0" w:firstLineChars="0"/>
              <w:rPr>
                <w:rFonts w:hint="default" w:ascii="Times New Roman" w:hAnsi="Times New Roman" w:eastAsia="仿宋_GB2312" w:cs="Times New Roman"/>
                <w:color w:val="000000" w:themeColor="text1"/>
                <w:sz w:val="24"/>
                <w:szCs w:val="21"/>
                <w:lang w:eastAsia="zh-CN"/>
                <w14:textFill>
                  <w14:solidFill>
                    <w14:schemeClr w14:val="tx1"/>
                  </w14:solidFill>
                </w14:textFill>
              </w:rPr>
            </w:pPr>
            <w:r>
              <w:rPr>
                <w:rFonts w:hint="default" w:ascii="Times New Roman" w:hAnsi="Times New Roman" w:cs="Times New Roman"/>
                <w:color w:val="000000" w:themeColor="text1"/>
                <w:sz w:val="24"/>
                <w:szCs w:val="21"/>
                <w14:textFill>
                  <w14:solidFill>
                    <w14:schemeClr w14:val="tx1"/>
                  </w14:solidFill>
                </w14:textFill>
              </w:rPr>
              <w:t>提供基于“区块链+人工智能+分布式”的金融数字化整体解决方案</w:t>
            </w:r>
            <w:r>
              <w:rPr>
                <w:rFonts w:hint="default" w:ascii="Times New Roman" w:hAnsi="Times New Roman" w:cs="Times New Roman"/>
                <w:color w:val="000000" w:themeColor="text1"/>
                <w:sz w:val="24"/>
                <w:szCs w:val="21"/>
                <w:lang w:eastAsia="zh-CN"/>
                <w14:textFill>
                  <w14:solidFill>
                    <w14:schemeClr w14:val="tx1"/>
                  </w14:solidFill>
                </w14:textFill>
              </w:rPr>
              <w:t>。</w:t>
            </w:r>
          </w:p>
        </w:tc>
        <w:tc>
          <w:tcPr>
            <w:tcW w:w="429" w:type="pct"/>
            <w:vAlign w:val="center"/>
          </w:tcPr>
          <w:p w14:paraId="0247DC93">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浙江省杭州市</w:t>
            </w:r>
          </w:p>
        </w:tc>
        <w:tc>
          <w:tcPr>
            <w:tcW w:w="793" w:type="pct"/>
            <w:vAlign w:val="center"/>
          </w:tcPr>
          <w:p w14:paraId="4710E0DB">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该企业</w:t>
            </w:r>
            <w:r>
              <w:rPr>
                <w:rFonts w:hint="default" w:ascii="Times New Roman" w:hAnsi="Times New Roman" w:cs="Times New Roman"/>
                <w:color w:val="000000" w:themeColor="text1"/>
                <w:sz w:val="24"/>
                <w:szCs w:val="21"/>
                <w14:textFill>
                  <w14:solidFill>
                    <w14:schemeClr w14:val="tx1"/>
                  </w14:solidFill>
                </w14:textFill>
              </w:rPr>
              <w:t>中国最早从事区块链技术研究与商业应用</w:t>
            </w:r>
            <w:r>
              <w:rPr>
                <w:rFonts w:hint="default" w:ascii="Times New Roman" w:hAnsi="Times New Roman" w:cs="Times New Roman"/>
                <w:color w:val="000000" w:themeColor="text1"/>
                <w:sz w:val="24"/>
                <w:szCs w:val="21"/>
                <w:lang w:eastAsia="zh-CN"/>
                <w14:textFill>
                  <w14:solidFill>
                    <w14:schemeClr w14:val="tx1"/>
                  </w14:solidFill>
                </w14:textFill>
              </w:rPr>
              <w:t>，</w:t>
            </w:r>
            <w:r>
              <w:rPr>
                <w:rFonts w:hint="default" w:ascii="Times New Roman" w:hAnsi="Times New Roman" w:cs="Times New Roman"/>
                <w:color w:val="000000" w:themeColor="text1"/>
                <w:sz w:val="24"/>
                <w:szCs w:val="21"/>
                <w:lang w:val="en-US" w:eastAsia="zh-CN"/>
                <w14:textFill>
                  <w14:solidFill>
                    <w14:schemeClr w14:val="tx1"/>
                  </w14:solidFill>
                </w14:textFill>
              </w:rPr>
              <w:t>研发团队及实力强，且</w:t>
            </w:r>
            <w:r>
              <w:rPr>
                <w:rFonts w:hint="default" w:ascii="Times New Roman" w:hAnsi="Times New Roman" w:cs="Times New Roman"/>
                <w:color w:val="000000" w:themeColor="text1"/>
                <w:sz w:val="24"/>
                <w:szCs w:val="21"/>
                <w14:textFill>
                  <w14:solidFill>
                    <w14:schemeClr w14:val="tx1"/>
                  </w14:solidFill>
                </w14:textFill>
              </w:rPr>
              <w:t>在北京、上海、广州</w:t>
            </w:r>
            <w:r>
              <w:rPr>
                <w:rFonts w:hint="default" w:ascii="Times New Roman" w:hAnsi="Times New Roman" w:cs="Times New Roman"/>
                <w:color w:val="000000" w:themeColor="text1"/>
                <w:sz w:val="24"/>
                <w:szCs w:val="21"/>
                <w:lang w:val="en-US" w:eastAsia="zh-CN"/>
                <w14:textFill>
                  <w14:solidFill>
                    <w14:schemeClr w14:val="tx1"/>
                  </w14:solidFill>
                </w14:textFill>
              </w:rPr>
              <w:t>等地</w:t>
            </w:r>
            <w:r>
              <w:rPr>
                <w:rFonts w:hint="default" w:ascii="Times New Roman" w:hAnsi="Times New Roman" w:cs="Times New Roman"/>
                <w:color w:val="000000" w:themeColor="text1"/>
                <w:sz w:val="24"/>
                <w:szCs w:val="21"/>
                <w14:textFill>
                  <w14:solidFill>
                    <w14:schemeClr w14:val="tx1"/>
                  </w14:solidFill>
                </w14:textFill>
              </w:rPr>
              <w:t>设有分支机构</w:t>
            </w:r>
            <w:r>
              <w:rPr>
                <w:rFonts w:hint="default" w:ascii="Times New Roman" w:hAnsi="Times New Roman" w:cs="Times New Roman"/>
                <w:color w:val="000000" w:themeColor="text1"/>
                <w:sz w:val="24"/>
                <w:szCs w:val="21"/>
                <w:lang w:eastAsia="zh-CN"/>
                <w14:textFill>
                  <w14:solidFill>
                    <w14:schemeClr w14:val="tx1"/>
                  </w14:solidFill>
                </w14:textFill>
              </w:rPr>
              <w:t>，</w:t>
            </w:r>
            <w:r>
              <w:rPr>
                <w:rFonts w:hint="default" w:ascii="Times New Roman" w:hAnsi="Times New Roman" w:cs="Times New Roman"/>
                <w:color w:val="000000" w:themeColor="text1"/>
                <w:sz w:val="24"/>
                <w:szCs w:val="21"/>
                <w:lang w:val="en-US" w:eastAsia="zh-CN"/>
                <w14:textFill>
                  <w14:solidFill>
                    <w14:schemeClr w14:val="tx1"/>
                  </w14:solidFill>
                </w14:textFill>
              </w:rPr>
              <w:t>投资能力强。</w:t>
            </w:r>
          </w:p>
        </w:tc>
        <w:tc>
          <w:tcPr>
            <w:tcW w:w="1055" w:type="pct"/>
            <w:vAlign w:val="center"/>
          </w:tcPr>
          <w:p w14:paraId="4E0E4AF3">
            <w:pPr>
              <w:spacing w:line="240" w:lineRule="auto"/>
              <w:ind w:firstLine="0" w:firstLineChars="0"/>
              <w:rPr>
                <w:rFonts w:hint="default" w:ascii="Times New Roman" w:hAnsi="Times New Roman"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1.区块链核心技术，如共识算法、智能合约、隐私计算等。</w:t>
            </w:r>
          </w:p>
          <w:p w14:paraId="6B4D412C">
            <w:pPr>
              <w:spacing w:line="240" w:lineRule="auto"/>
              <w:ind w:firstLine="0" w:firstLineChars="0"/>
              <w:rPr>
                <w:rFonts w:hint="default" w:ascii="Times New Roman" w:hAnsi="Times New Roman" w:eastAsia="仿宋_GB2312" w:cs="Times New Roman"/>
                <w:color w:val="000000" w:themeColor="text1"/>
                <w:sz w:val="24"/>
                <w:szCs w:val="21"/>
                <w:lang w:val="en-US" w:eastAsia="zh-CN"/>
                <w14:textFill>
                  <w14:solidFill>
                    <w14:schemeClr w14:val="tx1"/>
                  </w14:solidFill>
                </w14:textFill>
              </w:rPr>
            </w:pPr>
            <w:r>
              <w:rPr>
                <w:rFonts w:hint="default" w:ascii="Times New Roman" w:hAnsi="Times New Roman" w:cs="Times New Roman"/>
                <w:color w:val="000000" w:themeColor="text1"/>
                <w:sz w:val="24"/>
                <w:szCs w:val="21"/>
                <w:lang w:val="en-US" w:eastAsia="zh-CN"/>
                <w14:textFill>
                  <w14:solidFill>
                    <w14:schemeClr w14:val="tx1"/>
                  </w14:solidFill>
                </w14:textFill>
              </w:rPr>
              <w:t>2.区块链解决方案。</w:t>
            </w:r>
          </w:p>
        </w:tc>
        <w:tc>
          <w:tcPr>
            <w:tcW w:w="797" w:type="pct"/>
            <w:vMerge w:val="continue"/>
            <w:vAlign w:val="center"/>
          </w:tcPr>
          <w:p w14:paraId="69503A47">
            <w:pPr>
              <w:spacing w:line="240" w:lineRule="auto"/>
              <w:ind w:firstLine="0" w:firstLineChars="0"/>
              <w:rPr>
                <w:rFonts w:hint="default" w:ascii="Times New Roman" w:hAnsi="Times New Roman" w:cs="Times New Roman"/>
                <w:color w:val="000000" w:themeColor="text1"/>
                <w:sz w:val="24"/>
                <w:szCs w:val="21"/>
                <w14:textFill>
                  <w14:solidFill>
                    <w14:schemeClr w14:val="tx1"/>
                  </w14:solidFill>
                </w14:textFill>
              </w:rPr>
            </w:pPr>
          </w:p>
        </w:tc>
      </w:tr>
    </w:tbl>
    <w:p w14:paraId="222E162E">
      <w:pPr>
        <w:ind w:firstLine="0" w:firstLineChars="0"/>
        <w:rPr>
          <w:rFonts w:hint="default" w:ascii="Times New Roman" w:hAnsi="Times New Roman" w:cs="Times New Roman"/>
          <w:color w:val="000000" w:themeColor="text1"/>
          <w14:textFill>
            <w14:solidFill>
              <w14:schemeClr w14:val="tx1"/>
            </w14:solidFill>
          </w14:textFill>
        </w:rPr>
      </w:pPr>
    </w:p>
    <w:sectPr>
      <w:pgSz w:w="16838" w:h="11906" w:orient="landscape"/>
      <w:pgMar w:top="2098" w:right="1474" w:bottom="1984" w:left="1587"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小标宋简体">
    <w:panose1 w:val="03000509000000000000"/>
    <w:charset w:val="86"/>
    <w:family w:val="auto"/>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37904">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4B6F9">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29EFF">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65E0">
    <w:pPr>
      <w:pStyle w:val="11"/>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244566076"/>
                          </w:sdtPr>
                          <w:sdtContent>
                            <w:p w14:paraId="26FF5610">
                              <w:pPr>
                                <w:pStyle w:val="11"/>
                                <w:ind w:firstLine="360"/>
                                <w:jc w:val="center"/>
                              </w:pPr>
                              <w:r>
                                <w:fldChar w:fldCharType="begin"/>
                              </w:r>
                              <w:r>
                                <w:instrText xml:space="preserve">PAGE   \* MERGEFORMAT</w:instrText>
                              </w:r>
                              <w:r>
                                <w:fldChar w:fldCharType="separate"/>
                              </w:r>
                              <w:r>
                                <w:rPr>
                                  <w:lang w:val="zh-CN"/>
                                </w:rPr>
                                <w:t>II</w:t>
                              </w:r>
                              <w:r>
                                <w:fldChar w:fldCharType="end"/>
                              </w:r>
                            </w:p>
                          </w:sdtContent>
                        </w:sdt>
                        <w:p w14:paraId="30249447">
                          <w:pPr>
                            <w:pStyle w:val="5"/>
                            <w:ind w:firstLine="64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sdt>
                    <w:sdtPr>
                      <w:id w:val="-244566076"/>
                    </w:sdtPr>
                    <w:sdtContent>
                      <w:p w14:paraId="26FF5610">
                        <w:pPr>
                          <w:pStyle w:val="11"/>
                          <w:ind w:firstLine="360"/>
                          <w:jc w:val="center"/>
                        </w:pPr>
                        <w:r>
                          <w:fldChar w:fldCharType="begin"/>
                        </w:r>
                        <w:r>
                          <w:instrText xml:space="preserve">PAGE   \* MERGEFORMAT</w:instrText>
                        </w:r>
                        <w:r>
                          <w:fldChar w:fldCharType="separate"/>
                        </w:r>
                        <w:r>
                          <w:rPr>
                            <w:lang w:val="zh-CN"/>
                          </w:rPr>
                          <w:t>II</w:t>
                        </w:r>
                        <w:r>
                          <w:fldChar w:fldCharType="end"/>
                        </w:r>
                      </w:p>
                    </w:sdtContent>
                  </w:sdt>
                  <w:p w14:paraId="30249447">
                    <w:pPr>
                      <w:pStyle w:val="5"/>
                      <w:ind w:firstLine="643"/>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7415">
    <w:pPr>
      <w:pStyle w:val="11"/>
      <w:ind w:firstLine="360"/>
      <w:jc w:val="center"/>
    </w:pPr>
    <w:r>
      <mc:AlternateContent>
        <mc:Choice Requires="wps">
          <w:drawing>
            <wp:anchor distT="0" distB="0" distL="114300" distR="114300" simplePos="0" relativeHeight="251660288" behindDoc="0" locked="0" layoutInCell="1" allowOverlap="1">
              <wp:simplePos x="0" y="0"/>
              <wp:positionH relativeFrom="margin">
                <wp:posOffset>2662555</wp:posOffset>
              </wp:positionH>
              <wp:positionV relativeFrom="paragraph">
                <wp:posOffset>2540</wp:posOffset>
              </wp:positionV>
              <wp:extent cx="527050" cy="1651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27050" cy="165100"/>
                      </a:xfrm>
                      <a:prstGeom prst="rect">
                        <a:avLst/>
                      </a:prstGeom>
                      <a:noFill/>
                      <a:ln w="6350">
                        <a:noFill/>
                      </a:ln>
                      <a:effectLst/>
                    </wps:spPr>
                    <wps:txbx>
                      <w:txbxContent>
                        <w:p w14:paraId="581E9A2C">
                          <w:pPr>
                            <w:pStyle w:val="11"/>
                            <w:ind w:firstLine="360"/>
                            <w:jc w:val="center"/>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9.65pt;margin-top:0.2pt;height:13pt;width:41.5pt;mso-position-horizontal-relative:margin;z-index:251660288;mso-width-relative:page;mso-height-relative:page;" filled="f" stroked="f" coordsize="21600,21600" o:gfxdata="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gqko1QAAAAcBAAAPAAAAAAAAAAEAIAAAACIAAABkcnMvZG93bnJldi54&#10;bWxQSwECFAAUAAAACACHTuJAP7s2zDYCAABjBAAADgAAAAAAAAABACAAAAAkAQAAZHJzL2Uyb0Rv&#10;Yy54bWxQSwUGAAAAAAYABgBZAQAAzAUAAAAA&#10;">
              <v:fill on="f" focussize="0,0"/>
              <v:stroke on="f" weight="0.5pt"/>
              <v:imagedata o:title=""/>
              <o:lock v:ext="edit" aspectratio="f"/>
              <v:textbox inset="0mm,0mm,0mm,0mm">
                <w:txbxContent>
                  <w:p w14:paraId="581E9A2C">
                    <w:pPr>
                      <w:pStyle w:val="11"/>
                      <w:ind w:firstLine="360"/>
                      <w:jc w:val="center"/>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1016D">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3FDC8">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ED406">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0NWU1OTBjYzU1M2Y2NDYxNWU5ODAxZGVjODUzOWEifQ=="/>
  </w:docVars>
  <w:rsids>
    <w:rsidRoot w:val="00C1779C"/>
    <w:rsid w:val="000276EA"/>
    <w:rsid w:val="00031687"/>
    <w:rsid w:val="00033024"/>
    <w:rsid w:val="0003543C"/>
    <w:rsid w:val="000367EE"/>
    <w:rsid w:val="0003688B"/>
    <w:rsid w:val="0004628F"/>
    <w:rsid w:val="00046420"/>
    <w:rsid w:val="00061B06"/>
    <w:rsid w:val="00062F99"/>
    <w:rsid w:val="00064EBA"/>
    <w:rsid w:val="00066AFB"/>
    <w:rsid w:val="000726D0"/>
    <w:rsid w:val="000741B3"/>
    <w:rsid w:val="00077AC5"/>
    <w:rsid w:val="000808B8"/>
    <w:rsid w:val="000863F1"/>
    <w:rsid w:val="000869F0"/>
    <w:rsid w:val="00086ED3"/>
    <w:rsid w:val="00091DBF"/>
    <w:rsid w:val="000A76BA"/>
    <w:rsid w:val="000B22EC"/>
    <w:rsid w:val="000B60C4"/>
    <w:rsid w:val="000B66F4"/>
    <w:rsid w:val="000C3FB9"/>
    <w:rsid w:val="000C4975"/>
    <w:rsid w:val="000C64CC"/>
    <w:rsid w:val="000C73CF"/>
    <w:rsid w:val="000D3821"/>
    <w:rsid w:val="000D3AAC"/>
    <w:rsid w:val="000D4FA5"/>
    <w:rsid w:val="000E2283"/>
    <w:rsid w:val="000E3632"/>
    <w:rsid w:val="000F01FE"/>
    <w:rsid w:val="000F3240"/>
    <w:rsid w:val="00100BBD"/>
    <w:rsid w:val="00102296"/>
    <w:rsid w:val="00104703"/>
    <w:rsid w:val="00112C9A"/>
    <w:rsid w:val="00124F07"/>
    <w:rsid w:val="0012781F"/>
    <w:rsid w:val="00127B18"/>
    <w:rsid w:val="00140B42"/>
    <w:rsid w:val="0014117C"/>
    <w:rsid w:val="00141D5B"/>
    <w:rsid w:val="00146E1A"/>
    <w:rsid w:val="00151CA2"/>
    <w:rsid w:val="00152368"/>
    <w:rsid w:val="00154355"/>
    <w:rsid w:val="00157375"/>
    <w:rsid w:val="00160244"/>
    <w:rsid w:val="00167E83"/>
    <w:rsid w:val="00170C8F"/>
    <w:rsid w:val="00172BAB"/>
    <w:rsid w:val="00174C2D"/>
    <w:rsid w:val="001773E4"/>
    <w:rsid w:val="00194037"/>
    <w:rsid w:val="00194771"/>
    <w:rsid w:val="00197F04"/>
    <w:rsid w:val="001C7E40"/>
    <w:rsid w:val="001F2E71"/>
    <w:rsid w:val="001F507A"/>
    <w:rsid w:val="0021035F"/>
    <w:rsid w:val="00216FBA"/>
    <w:rsid w:val="00217F1F"/>
    <w:rsid w:val="00221A04"/>
    <w:rsid w:val="00221FE3"/>
    <w:rsid w:val="00222F28"/>
    <w:rsid w:val="002263E5"/>
    <w:rsid w:val="002307F9"/>
    <w:rsid w:val="0024132A"/>
    <w:rsid w:val="00241E09"/>
    <w:rsid w:val="00250A6B"/>
    <w:rsid w:val="0025178B"/>
    <w:rsid w:val="002521EC"/>
    <w:rsid w:val="00252317"/>
    <w:rsid w:val="00253AF2"/>
    <w:rsid w:val="00262A10"/>
    <w:rsid w:val="00271457"/>
    <w:rsid w:val="00284593"/>
    <w:rsid w:val="0029385F"/>
    <w:rsid w:val="002A239B"/>
    <w:rsid w:val="002A5308"/>
    <w:rsid w:val="002B1046"/>
    <w:rsid w:val="002B207B"/>
    <w:rsid w:val="002B4DA0"/>
    <w:rsid w:val="002C699A"/>
    <w:rsid w:val="002C7F73"/>
    <w:rsid w:val="002D0D2C"/>
    <w:rsid w:val="002E480B"/>
    <w:rsid w:val="002F2B0F"/>
    <w:rsid w:val="002F621A"/>
    <w:rsid w:val="00301614"/>
    <w:rsid w:val="00305D05"/>
    <w:rsid w:val="003072C1"/>
    <w:rsid w:val="00307DB4"/>
    <w:rsid w:val="00310378"/>
    <w:rsid w:val="00313FA3"/>
    <w:rsid w:val="00316483"/>
    <w:rsid w:val="003202C0"/>
    <w:rsid w:val="0032576C"/>
    <w:rsid w:val="00327327"/>
    <w:rsid w:val="00331308"/>
    <w:rsid w:val="0033200C"/>
    <w:rsid w:val="0033422F"/>
    <w:rsid w:val="00351349"/>
    <w:rsid w:val="003539CD"/>
    <w:rsid w:val="00360198"/>
    <w:rsid w:val="00371384"/>
    <w:rsid w:val="00371E25"/>
    <w:rsid w:val="00392DE9"/>
    <w:rsid w:val="003A4BF5"/>
    <w:rsid w:val="003B219D"/>
    <w:rsid w:val="003B2CB3"/>
    <w:rsid w:val="003B69C4"/>
    <w:rsid w:val="003C11FD"/>
    <w:rsid w:val="003C25CD"/>
    <w:rsid w:val="003C468C"/>
    <w:rsid w:val="003D17E4"/>
    <w:rsid w:val="003D1D51"/>
    <w:rsid w:val="003D6E07"/>
    <w:rsid w:val="003E5F26"/>
    <w:rsid w:val="00413806"/>
    <w:rsid w:val="00420446"/>
    <w:rsid w:val="00426250"/>
    <w:rsid w:val="004331B1"/>
    <w:rsid w:val="00455537"/>
    <w:rsid w:val="00456236"/>
    <w:rsid w:val="00460424"/>
    <w:rsid w:val="00462A58"/>
    <w:rsid w:val="00471497"/>
    <w:rsid w:val="00493987"/>
    <w:rsid w:val="004945E1"/>
    <w:rsid w:val="004A241B"/>
    <w:rsid w:val="004A2E0C"/>
    <w:rsid w:val="004A3216"/>
    <w:rsid w:val="004A73E5"/>
    <w:rsid w:val="004B55C2"/>
    <w:rsid w:val="004B5BD9"/>
    <w:rsid w:val="004C316E"/>
    <w:rsid w:val="004C3D1F"/>
    <w:rsid w:val="004C7CA7"/>
    <w:rsid w:val="004E5A16"/>
    <w:rsid w:val="004E6059"/>
    <w:rsid w:val="004F2431"/>
    <w:rsid w:val="004F642D"/>
    <w:rsid w:val="0050033C"/>
    <w:rsid w:val="005057C4"/>
    <w:rsid w:val="0050739F"/>
    <w:rsid w:val="005141B9"/>
    <w:rsid w:val="00515919"/>
    <w:rsid w:val="00516B1E"/>
    <w:rsid w:val="0051799D"/>
    <w:rsid w:val="005309B4"/>
    <w:rsid w:val="00535CEF"/>
    <w:rsid w:val="005425B6"/>
    <w:rsid w:val="00542D6A"/>
    <w:rsid w:val="00545D8C"/>
    <w:rsid w:val="00547A83"/>
    <w:rsid w:val="0055264E"/>
    <w:rsid w:val="00553BAA"/>
    <w:rsid w:val="0056110C"/>
    <w:rsid w:val="00565CA1"/>
    <w:rsid w:val="00575458"/>
    <w:rsid w:val="00576DF2"/>
    <w:rsid w:val="0058178B"/>
    <w:rsid w:val="005828EF"/>
    <w:rsid w:val="00583E12"/>
    <w:rsid w:val="00590979"/>
    <w:rsid w:val="0059540E"/>
    <w:rsid w:val="005A0578"/>
    <w:rsid w:val="005A129B"/>
    <w:rsid w:val="005A3D92"/>
    <w:rsid w:val="005B6228"/>
    <w:rsid w:val="005B6872"/>
    <w:rsid w:val="005C0FC6"/>
    <w:rsid w:val="005D1FE6"/>
    <w:rsid w:val="005D3543"/>
    <w:rsid w:val="005E33BE"/>
    <w:rsid w:val="005F58C6"/>
    <w:rsid w:val="00600DEE"/>
    <w:rsid w:val="00605498"/>
    <w:rsid w:val="0061386E"/>
    <w:rsid w:val="00613A5B"/>
    <w:rsid w:val="00627857"/>
    <w:rsid w:val="00641F37"/>
    <w:rsid w:val="00642593"/>
    <w:rsid w:val="00645BDB"/>
    <w:rsid w:val="00651FF3"/>
    <w:rsid w:val="00652EDC"/>
    <w:rsid w:val="0066726C"/>
    <w:rsid w:val="00672DB8"/>
    <w:rsid w:val="00675AC8"/>
    <w:rsid w:val="006906CD"/>
    <w:rsid w:val="006B2ABB"/>
    <w:rsid w:val="006B411A"/>
    <w:rsid w:val="006B4988"/>
    <w:rsid w:val="006C03EC"/>
    <w:rsid w:val="006C0E8F"/>
    <w:rsid w:val="006C287F"/>
    <w:rsid w:val="006D4D32"/>
    <w:rsid w:val="006D58AF"/>
    <w:rsid w:val="006E5A92"/>
    <w:rsid w:val="006E7109"/>
    <w:rsid w:val="006F1C72"/>
    <w:rsid w:val="006F4AC5"/>
    <w:rsid w:val="00701DCE"/>
    <w:rsid w:val="007020C5"/>
    <w:rsid w:val="00704558"/>
    <w:rsid w:val="00705AF3"/>
    <w:rsid w:val="00705FDE"/>
    <w:rsid w:val="00710B3F"/>
    <w:rsid w:val="00720EDE"/>
    <w:rsid w:val="0073408B"/>
    <w:rsid w:val="007434A0"/>
    <w:rsid w:val="00751262"/>
    <w:rsid w:val="007527AE"/>
    <w:rsid w:val="0075491D"/>
    <w:rsid w:val="00757140"/>
    <w:rsid w:val="007579C5"/>
    <w:rsid w:val="00764C40"/>
    <w:rsid w:val="007660AD"/>
    <w:rsid w:val="0077032D"/>
    <w:rsid w:val="00771FA6"/>
    <w:rsid w:val="00775FE2"/>
    <w:rsid w:val="00783084"/>
    <w:rsid w:val="00784C54"/>
    <w:rsid w:val="007C3B95"/>
    <w:rsid w:val="007C572D"/>
    <w:rsid w:val="007C7325"/>
    <w:rsid w:val="007D3C43"/>
    <w:rsid w:val="007D6F03"/>
    <w:rsid w:val="007E34AC"/>
    <w:rsid w:val="007E65E5"/>
    <w:rsid w:val="007F520D"/>
    <w:rsid w:val="008148D0"/>
    <w:rsid w:val="00816004"/>
    <w:rsid w:val="0081756C"/>
    <w:rsid w:val="0082412A"/>
    <w:rsid w:val="00832439"/>
    <w:rsid w:val="00832B68"/>
    <w:rsid w:val="00837C74"/>
    <w:rsid w:val="00843A9E"/>
    <w:rsid w:val="0084586D"/>
    <w:rsid w:val="0084739C"/>
    <w:rsid w:val="00847F4F"/>
    <w:rsid w:val="008557B9"/>
    <w:rsid w:val="0086310B"/>
    <w:rsid w:val="00865653"/>
    <w:rsid w:val="00880A8D"/>
    <w:rsid w:val="008837F3"/>
    <w:rsid w:val="00887686"/>
    <w:rsid w:val="008A41B3"/>
    <w:rsid w:val="008B3F9F"/>
    <w:rsid w:val="008C05C0"/>
    <w:rsid w:val="008C2D49"/>
    <w:rsid w:val="008E2516"/>
    <w:rsid w:val="008E6BD6"/>
    <w:rsid w:val="008F5B13"/>
    <w:rsid w:val="00901C8A"/>
    <w:rsid w:val="00903842"/>
    <w:rsid w:val="00914648"/>
    <w:rsid w:val="00914CE5"/>
    <w:rsid w:val="00926983"/>
    <w:rsid w:val="00941E69"/>
    <w:rsid w:val="00943C4A"/>
    <w:rsid w:val="009440B4"/>
    <w:rsid w:val="00947ABE"/>
    <w:rsid w:val="00954DBF"/>
    <w:rsid w:val="00955248"/>
    <w:rsid w:val="00957DB2"/>
    <w:rsid w:val="009617E2"/>
    <w:rsid w:val="009666E5"/>
    <w:rsid w:val="009743AD"/>
    <w:rsid w:val="00975D36"/>
    <w:rsid w:val="0097722E"/>
    <w:rsid w:val="00991DDE"/>
    <w:rsid w:val="00992E20"/>
    <w:rsid w:val="009A2BBD"/>
    <w:rsid w:val="009A79D1"/>
    <w:rsid w:val="009C6EAA"/>
    <w:rsid w:val="009D20AA"/>
    <w:rsid w:val="009D646A"/>
    <w:rsid w:val="009E2A59"/>
    <w:rsid w:val="009E43D2"/>
    <w:rsid w:val="009F29C7"/>
    <w:rsid w:val="009F39A9"/>
    <w:rsid w:val="009F5ABA"/>
    <w:rsid w:val="00A1513A"/>
    <w:rsid w:val="00A1755E"/>
    <w:rsid w:val="00A20092"/>
    <w:rsid w:val="00A22E50"/>
    <w:rsid w:val="00A276E7"/>
    <w:rsid w:val="00A27B25"/>
    <w:rsid w:val="00A312BD"/>
    <w:rsid w:val="00A36739"/>
    <w:rsid w:val="00A4123A"/>
    <w:rsid w:val="00A429D6"/>
    <w:rsid w:val="00A42E24"/>
    <w:rsid w:val="00A45E16"/>
    <w:rsid w:val="00A5131E"/>
    <w:rsid w:val="00A66FBD"/>
    <w:rsid w:val="00A7655A"/>
    <w:rsid w:val="00A8466B"/>
    <w:rsid w:val="00A86BA4"/>
    <w:rsid w:val="00A87241"/>
    <w:rsid w:val="00A91139"/>
    <w:rsid w:val="00A9588E"/>
    <w:rsid w:val="00AA3A8A"/>
    <w:rsid w:val="00AA5D28"/>
    <w:rsid w:val="00AA6B19"/>
    <w:rsid w:val="00AC070F"/>
    <w:rsid w:val="00AC2578"/>
    <w:rsid w:val="00AC4010"/>
    <w:rsid w:val="00AC52E3"/>
    <w:rsid w:val="00AC76CD"/>
    <w:rsid w:val="00AD28B8"/>
    <w:rsid w:val="00AD328E"/>
    <w:rsid w:val="00AD6017"/>
    <w:rsid w:val="00AD7AED"/>
    <w:rsid w:val="00AE0A67"/>
    <w:rsid w:val="00AE3EFA"/>
    <w:rsid w:val="00AE5CE0"/>
    <w:rsid w:val="00AE7B00"/>
    <w:rsid w:val="00B008B7"/>
    <w:rsid w:val="00B1099A"/>
    <w:rsid w:val="00B14F15"/>
    <w:rsid w:val="00B24767"/>
    <w:rsid w:val="00B32C34"/>
    <w:rsid w:val="00B33271"/>
    <w:rsid w:val="00B34CC2"/>
    <w:rsid w:val="00B410DA"/>
    <w:rsid w:val="00B42DB3"/>
    <w:rsid w:val="00B42F0E"/>
    <w:rsid w:val="00B5305F"/>
    <w:rsid w:val="00B5389D"/>
    <w:rsid w:val="00B53E2C"/>
    <w:rsid w:val="00B569C4"/>
    <w:rsid w:val="00B57D5B"/>
    <w:rsid w:val="00B60287"/>
    <w:rsid w:val="00B629EE"/>
    <w:rsid w:val="00B70C88"/>
    <w:rsid w:val="00B77E96"/>
    <w:rsid w:val="00B82CC2"/>
    <w:rsid w:val="00B86595"/>
    <w:rsid w:val="00B86776"/>
    <w:rsid w:val="00B96003"/>
    <w:rsid w:val="00BB1F18"/>
    <w:rsid w:val="00BB4503"/>
    <w:rsid w:val="00BB46F3"/>
    <w:rsid w:val="00BC6A2A"/>
    <w:rsid w:val="00BD6DCB"/>
    <w:rsid w:val="00C1121A"/>
    <w:rsid w:val="00C12874"/>
    <w:rsid w:val="00C15962"/>
    <w:rsid w:val="00C1779C"/>
    <w:rsid w:val="00C17802"/>
    <w:rsid w:val="00C30AB1"/>
    <w:rsid w:val="00C37015"/>
    <w:rsid w:val="00C43854"/>
    <w:rsid w:val="00C46422"/>
    <w:rsid w:val="00C46F9D"/>
    <w:rsid w:val="00C470F2"/>
    <w:rsid w:val="00C554A4"/>
    <w:rsid w:val="00C55E83"/>
    <w:rsid w:val="00C563F8"/>
    <w:rsid w:val="00C60A32"/>
    <w:rsid w:val="00C6581B"/>
    <w:rsid w:val="00C65B8E"/>
    <w:rsid w:val="00C778AD"/>
    <w:rsid w:val="00C8208C"/>
    <w:rsid w:val="00C85130"/>
    <w:rsid w:val="00C92A06"/>
    <w:rsid w:val="00CA3327"/>
    <w:rsid w:val="00CB18F3"/>
    <w:rsid w:val="00CB698A"/>
    <w:rsid w:val="00CD4970"/>
    <w:rsid w:val="00CD5AB3"/>
    <w:rsid w:val="00CE3597"/>
    <w:rsid w:val="00D02F40"/>
    <w:rsid w:val="00D05494"/>
    <w:rsid w:val="00D118AF"/>
    <w:rsid w:val="00D23EBC"/>
    <w:rsid w:val="00D43E20"/>
    <w:rsid w:val="00D44027"/>
    <w:rsid w:val="00D47DD3"/>
    <w:rsid w:val="00D5648E"/>
    <w:rsid w:val="00D617FC"/>
    <w:rsid w:val="00D67F8B"/>
    <w:rsid w:val="00D73C57"/>
    <w:rsid w:val="00D92AE5"/>
    <w:rsid w:val="00D96F0C"/>
    <w:rsid w:val="00DB0A24"/>
    <w:rsid w:val="00DB2EDB"/>
    <w:rsid w:val="00DC36EC"/>
    <w:rsid w:val="00DD2C2A"/>
    <w:rsid w:val="00DE12C7"/>
    <w:rsid w:val="00DE4D0F"/>
    <w:rsid w:val="00DE7AA1"/>
    <w:rsid w:val="00DF100F"/>
    <w:rsid w:val="00DF3A0E"/>
    <w:rsid w:val="00DF7783"/>
    <w:rsid w:val="00E035A1"/>
    <w:rsid w:val="00E07BEB"/>
    <w:rsid w:val="00E15DAF"/>
    <w:rsid w:val="00E20797"/>
    <w:rsid w:val="00E37314"/>
    <w:rsid w:val="00E44850"/>
    <w:rsid w:val="00E51729"/>
    <w:rsid w:val="00E55040"/>
    <w:rsid w:val="00E56199"/>
    <w:rsid w:val="00E57BC6"/>
    <w:rsid w:val="00E70F8B"/>
    <w:rsid w:val="00E7309C"/>
    <w:rsid w:val="00E75D12"/>
    <w:rsid w:val="00E77066"/>
    <w:rsid w:val="00E81D42"/>
    <w:rsid w:val="00EA5DF1"/>
    <w:rsid w:val="00EC3E00"/>
    <w:rsid w:val="00ED0A8E"/>
    <w:rsid w:val="00ED218C"/>
    <w:rsid w:val="00ED2EED"/>
    <w:rsid w:val="00ED7643"/>
    <w:rsid w:val="00EE0EF0"/>
    <w:rsid w:val="00EE6DB8"/>
    <w:rsid w:val="00EF3BDA"/>
    <w:rsid w:val="00EF65AF"/>
    <w:rsid w:val="00F06249"/>
    <w:rsid w:val="00F16E27"/>
    <w:rsid w:val="00F17738"/>
    <w:rsid w:val="00F210C7"/>
    <w:rsid w:val="00F270D4"/>
    <w:rsid w:val="00F30470"/>
    <w:rsid w:val="00F37F14"/>
    <w:rsid w:val="00F428F2"/>
    <w:rsid w:val="00F43835"/>
    <w:rsid w:val="00F52602"/>
    <w:rsid w:val="00F70DAD"/>
    <w:rsid w:val="00F71D3F"/>
    <w:rsid w:val="00F75ED7"/>
    <w:rsid w:val="00F91125"/>
    <w:rsid w:val="00F91CDE"/>
    <w:rsid w:val="00F97C83"/>
    <w:rsid w:val="00F97F64"/>
    <w:rsid w:val="00FA141B"/>
    <w:rsid w:val="00FD3445"/>
    <w:rsid w:val="00FE18B5"/>
    <w:rsid w:val="00FE2B3C"/>
    <w:rsid w:val="00FF335E"/>
    <w:rsid w:val="00FF3C48"/>
    <w:rsid w:val="01303AC5"/>
    <w:rsid w:val="02117D0A"/>
    <w:rsid w:val="029136C2"/>
    <w:rsid w:val="02DE12F2"/>
    <w:rsid w:val="03125B78"/>
    <w:rsid w:val="03315ACC"/>
    <w:rsid w:val="035970FB"/>
    <w:rsid w:val="03757628"/>
    <w:rsid w:val="0442248D"/>
    <w:rsid w:val="04525213"/>
    <w:rsid w:val="04932CE9"/>
    <w:rsid w:val="04966335"/>
    <w:rsid w:val="04A85802"/>
    <w:rsid w:val="04D1736D"/>
    <w:rsid w:val="051C3DFB"/>
    <w:rsid w:val="055C4746"/>
    <w:rsid w:val="05A818A3"/>
    <w:rsid w:val="061439B5"/>
    <w:rsid w:val="062004A2"/>
    <w:rsid w:val="067C430D"/>
    <w:rsid w:val="06BD2A2B"/>
    <w:rsid w:val="06DA4BFF"/>
    <w:rsid w:val="070E3814"/>
    <w:rsid w:val="07B216D8"/>
    <w:rsid w:val="08420407"/>
    <w:rsid w:val="08914002"/>
    <w:rsid w:val="089D18EB"/>
    <w:rsid w:val="08AD3BAB"/>
    <w:rsid w:val="09047D11"/>
    <w:rsid w:val="09623BBA"/>
    <w:rsid w:val="099512B1"/>
    <w:rsid w:val="09CF47A8"/>
    <w:rsid w:val="09ED69F7"/>
    <w:rsid w:val="0A054A0C"/>
    <w:rsid w:val="0A2E3D1E"/>
    <w:rsid w:val="0A682522"/>
    <w:rsid w:val="0A79472F"/>
    <w:rsid w:val="0B1A1A6E"/>
    <w:rsid w:val="0B777A09"/>
    <w:rsid w:val="0B7F3CA3"/>
    <w:rsid w:val="0BCB486B"/>
    <w:rsid w:val="0BCC4CA0"/>
    <w:rsid w:val="0BED7AC7"/>
    <w:rsid w:val="0BF306E2"/>
    <w:rsid w:val="0C5F718D"/>
    <w:rsid w:val="0C9D2894"/>
    <w:rsid w:val="0CAB412D"/>
    <w:rsid w:val="0CE34EFB"/>
    <w:rsid w:val="0D007931"/>
    <w:rsid w:val="0D397509"/>
    <w:rsid w:val="0D81040F"/>
    <w:rsid w:val="0DDC74AE"/>
    <w:rsid w:val="0F48120C"/>
    <w:rsid w:val="0F501F1A"/>
    <w:rsid w:val="0FD24AAC"/>
    <w:rsid w:val="10807CD2"/>
    <w:rsid w:val="10D4429F"/>
    <w:rsid w:val="11297C91"/>
    <w:rsid w:val="120F3660"/>
    <w:rsid w:val="123B766E"/>
    <w:rsid w:val="125735A8"/>
    <w:rsid w:val="129D2995"/>
    <w:rsid w:val="12DF649E"/>
    <w:rsid w:val="131E40C5"/>
    <w:rsid w:val="132316DC"/>
    <w:rsid w:val="13A24CF6"/>
    <w:rsid w:val="144933C4"/>
    <w:rsid w:val="14530410"/>
    <w:rsid w:val="14A33F64"/>
    <w:rsid w:val="14C23F94"/>
    <w:rsid w:val="14C30948"/>
    <w:rsid w:val="14F267F7"/>
    <w:rsid w:val="15E159C9"/>
    <w:rsid w:val="164B11F3"/>
    <w:rsid w:val="16591D98"/>
    <w:rsid w:val="167E5329"/>
    <w:rsid w:val="16D044D7"/>
    <w:rsid w:val="16FA5342"/>
    <w:rsid w:val="171078F0"/>
    <w:rsid w:val="17690B59"/>
    <w:rsid w:val="17F93D68"/>
    <w:rsid w:val="180645B8"/>
    <w:rsid w:val="18215FDC"/>
    <w:rsid w:val="18245CDA"/>
    <w:rsid w:val="18415F2D"/>
    <w:rsid w:val="18650063"/>
    <w:rsid w:val="18AF40D9"/>
    <w:rsid w:val="191F46F3"/>
    <w:rsid w:val="19540841"/>
    <w:rsid w:val="198F00F0"/>
    <w:rsid w:val="19B53F17"/>
    <w:rsid w:val="19CA1788"/>
    <w:rsid w:val="19CF3EFD"/>
    <w:rsid w:val="19F45339"/>
    <w:rsid w:val="1A1062B4"/>
    <w:rsid w:val="1A2F216B"/>
    <w:rsid w:val="1A8B5D4D"/>
    <w:rsid w:val="1A977F74"/>
    <w:rsid w:val="1B2E464E"/>
    <w:rsid w:val="1B79633D"/>
    <w:rsid w:val="1BB750B7"/>
    <w:rsid w:val="1BCD6751"/>
    <w:rsid w:val="1BDB2ED4"/>
    <w:rsid w:val="1BFC2ACA"/>
    <w:rsid w:val="1C434475"/>
    <w:rsid w:val="1CD96164"/>
    <w:rsid w:val="1D5A4550"/>
    <w:rsid w:val="1E3E3C0C"/>
    <w:rsid w:val="1E85149C"/>
    <w:rsid w:val="1E8A0861"/>
    <w:rsid w:val="1EC42B14"/>
    <w:rsid w:val="1EE94EE9"/>
    <w:rsid w:val="1F864F29"/>
    <w:rsid w:val="1FBC1A5D"/>
    <w:rsid w:val="1FDF05B9"/>
    <w:rsid w:val="1FFE1221"/>
    <w:rsid w:val="20625E3B"/>
    <w:rsid w:val="20BE33C2"/>
    <w:rsid w:val="21A63C04"/>
    <w:rsid w:val="221B014E"/>
    <w:rsid w:val="221E68D1"/>
    <w:rsid w:val="22995516"/>
    <w:rsid w:val="230745E8"/>
    <w:rsid w:val="234E4F13"/>
    <w:rsid w:val="23B9435D"/>
    <w:rsid w:val="23F271DB"/>
    <w:rsid w:val="24436DF1"/>
    <w:rsid w:val="24651EFB"/>
    <w:rsid w:val="24812704"/>
    <w:rsid w:val="24870866"/>
    <w:rsid w:val="24AC0E4D"/>
    <w:rsid w:val="24BE3012"/>
    <w:rsid w:val="24E42F7D"/>
    <w:rsid w:val="2512675C"/>
    <w:rsid w:val="25402419"/>
    <w:rsid w:val="25640408"/>
    <w:rsid w:val="257D711A"/>
    <w:rsid w:val="258A5F82"/>
    <w:rsid w:val="25B61F3B"/>
    <w:rsid w:val="26132E8C"/>
    <w:rsid w:val="2640568B"/>
    <w:rsid w:val="264B6B28"/>
    <w:rsid w:val="26626A94"/>
    <w:rsid w:val="26EE4E22"/>
    <w:rsid w:val="270C5BD3"/>
    <w:rsid w:val="272E26D1"/>
    <w:rsid w:val="277D5649"/>
    <w:rsid w:val="27A21806"/>
    <w:rsid w:val="27B30E39"/>
    <w:rsid w:val="27B61FBF"/>
    <w:rsid w:val="285E0153"/>
    <w:rsid w:val="288D1679"/>
    <w:rsid w:val="289D2342"/>
    <w:rsid w:val="28A030BE"/>
    <w:rsid w:val="28A07EF2"/>
    <w:rsid w:val="295E3016"/>
    <w:rsid w:val="29804D3A"/>
    <w:rsid w:val="2A78096E"/>
    <w:rsid w:val="2A8133C3"/>
    <w:rsid w:val="2AC60E73"/>
    <w:rsid w:val="2AE65F68"/>
    <w:rsid w:val="2B4A3852"/>
    <w:rsid w:val="2B593A95"/>
    <w:rsid w:val="2CD535EF"/>
    <w:rsid w:val="2CFD2278"/>
    <w:rsid w:val="2D204EC4"/>
    <w:rsid w:val="2D4A7B39"/>
    <w:rsid w:val="2E3B575B"/>
    <w:rsid w:val="2E3D769E"/>
    <w:rsid w:val="2E9A30A9"/>
    <w:rsid w:val="2EFE0BDB"/>
    <w:rsid w:val="2F2E07CE"/>
    <w:rsid w:val="2F8A54D7"/>
    <w:rsid w:val="30354AD0"/>
    <w:rsid w:val="30566D3E"/>
    <w:rsid w:val="305B51FF"/>
    <w:rsid w:val="30801050"/>
    <w:rsid w:val="30B139AA"/>
    <w:rsid w:val="30E07562"/>
    <w:rsid w:val="30E958BB"/>
    <w:rsid w:val="30F5600E"/>
    <w:rsid w:val="31835035"/>
    <w:rsid w:val="319F3C0F"/>
    <w:rsid w:val="323D46D9"/>
    <w:rsid w:val="32556848"/>
    <w:rsid w:val="32990C1B"/>
    <w:rsid w:val="32E263B0"/>
    <w:rsid w:val="342C4727"/>
    <w:rsid w:val="343F7812"/>
    <w:rsid w:val="346553BF"/>
    <w:rsid w:val="35037F02"/>
    <w:rsid w:val="352D05C5"/>
    <w:rsid w:val="35693CCA"/>
    <w:rsid w:val="35830721"/>
    <w:rsid w:val="36356EAC"/>
    <w:rsid w:val="363D5FAB"/>
    <w:rsid w:val="3647081A"/>
    <w:rsid w:val="37093178"/>
    <w:rsid w:val="3724749F"/>
    <w:rsid w:val="373F6235"/>
    <w:rsid w:val="375E601B"/>
    <w:rsid w:val="37B07013"/>
    <w:rsid w:val="37BF1123"/>
    <w:rsid w:val="37EE6813"/>
    <w:rsid w:val="37F9776F"/>
    <w:rsid w:val="383C09C6"/>
    <w:rsid w:val="384358B1"/>
    <w:rsid w:val="385E6C0D"/>
    <w:rsid w:val="38DA219C"/>
    <w:rsid w:val="390000F9"/>
    <w:rsid w:val="39C61FDA"/>
    <w:rsid w:val="3A0D6AA3"/>
    <w:rsid w:val="3A946897"/>
    <w:rsid w:val="3AEF7F72"/>
    <w:rsid w:val="3AF64E5C"/>
    <w:rsid w:val="3AFA0DF0"/>
    <w:rsid w:val="3B3B6D13"/>
    <w:rsid w:val="3BC350DF"/>
    <w:rsid w:val="3BC850D1"/>
    <w:rsid w:val="3C0B0DDB"/>
    <w:rsid w:val="3C5E77FC"/>
    <w:rsid w:val="3C63CB01"/>
    <w:rsid w:val="3CE01960"/>
    <w:rsid w:val="3CE04743"/>
    <w:rsid w:val="3D34569C"/>
    <w:rsid w:val="3D3954D4"/>
    <w:rsid w:val="3D475E43"/>
    <w:rsid w:val="3D845974"/>
    <w:rsid w:val="3D851ED1"/>
    <w:rsid w:val="3D871C6F"/>
    <w:rsid w:val="3DB11C57"/>
    <w:rsid w:val="3DDC7075"/>
    <w:rsid w:val="3DF0375B"/>
    <w:rsid w:val="3E4660FB"/>
    <w:rsid w:val="3E5C1DEB"/>
    <w:rsid w:val="3EFFF0EA"/>
    <w:rsid w:val="3F0F2990"/>
    <w:rsid w:val="3F7CA33E"/>
    <w:rsid w:val="3F83383D"/>
    <w:rsid w:val="3F89533D"/>
    <w:rsid w:val="3FCD5807"/>
    <w:rsid w:val="3FD2767F"/>
    <w:rsid w:val="3FF7AA31"/>
    <w:rsid w:val="3FFF3D65"/>
    <w:rsid w:val="40155D85"/>
    <w:rsid w:val="40870F02"/>
    <w:rsid w:val="409752D8"/>
    <w:rsid w:val="40AC5AB2"/>
    <w:rsid w:val="40CB7369"/>
    <w:rsid w:val="416245B0"/>
    <w:rsid w:val="417845B6"/>
    <w:rsid w:val="418141EB"/>
    <w:rsid w:val="42755F82"/>
    <w:rsid w:val="427E21E6"/>
    <w:rsid w:val="42AE0712"/>
    <w:rsid w:val="42C3259F"/>
    <w:rsid w:val="430F3F27"/>
    <w:rsid w:val="43D83C99"/>
    <w:rsid w:val="444543C5"/>
    <w:rsid w:val="44A66CC7"/>
    <w:rsid w:val="4585575A"/>
    <w:rsid w:val="459E681C"/>
    <w:rsid w:val="45D81DE2"/>
    <w:rsid w:val="45E50A22"/>
    <w:rsid w:val="466E276A"/>
    <w:rsid w:val="46B300A5"/>
    <w:rsid w:val="46D9135A"/>
    <w:rsid w:val="47887784"/>
    <w:rsid w:val="478F28C0"/>
    <w:rsid w:val="48402A0E"/>
    <w:rsid w:val="485E12FE"/>
    <w:rsid w:val="48A26623"/>
    <w:rsid w:val="494151C5"/>
    <w:rsid w:val="495022C6"/>
    <w:rsid w:val="49611291"/>
    <w:rsid w:val="498037B0"/>
    <w:rsid w:val="4A431AF8"/>
    <w:rsid w:val="4A471230"/>
    <w:rsid w:val="4A686E5C"/>
    <w:rsid w:val="4A732ADF"/>
    <w:rsid w:val="4AF40582"/>
    <w:rsid w:val="4B233990"/>
    <w:rsid w:val="4B424A07"/>
    <w:rsid w:val="4B5D4A84"/>
    <w:rsid w:val="4C083BBE"/>
    <w:rsid w:val="4C325F10"/>
    <w:rsid w:val="4CC553CA"/>
    <w:rsid w:val="4D0422F6"/>
    <w:rsid w:val="4D1F0243"/>
    <w:rsid w:val="4D6860EF"/>
    <w:rsid w:val="4D76482F"/>
    <w:rsid w:val="4D9A1059"/>
    <w:rsid w:val="4E1F4272"/>
    <w:rsid w:val="4E581833"/>
    <w:rsid w:val="4EC13349"/>
    <w:rsid w:val="4ECE746E"/>
    <w:rsid w:val="4EDF1751"/>
    <w:rsid w:val="4EF120B3"/>
    <w:rsid w:val="4F350835"/>
    <w:rsid w:val="4F616CC8"/>
    <w:rsid w:val="4F6208BA"/>
    <w:rsid w:val="4F7B3761"/>
    <w:rsid w:val="4FF91E55"/>
    <w:rsid w:val="502A366F"/>
    <w:rsid w:val="503A5393"/>
    <w:rsid w:val="503D4699"/>
    <w:rsid w:val="50CE2A9D"/>
    <w:rsid w:val="50F10148"/>
    <w:rsid w:val="50F65CB1"/>
    <w:rsid w:val="51F60A51"/>
    <w:rsid w:val="523D6FB3"/>
    <w:rsid w:val="524F15CA"/>
    <w:rsid w:val="526B3F2A"/>
    <w:rsid w:val="52701540"/>
    <w:rsid w:val="52A65B43"/>
    <w:rsid w:val="52B329C6"/>
    <w:rsid w:val="52D150AC"/>
    <w:rsid w:val="52EF06B7"/>
    <w:rsid w:val="537B5227"/>
    <w:rsid w:val="538C66A3"/>
    <w:rsid w:val="53990C1F"/>
    <w:rsid w:val="53D37FD9"/>
    <w:rsid w:val="53F046E7"/>
    <w:rsid w:val="53F57F4F"/>
    <w:rsid w:val="54325E1F"/>
    <w:rsid w:val="54770FCC"/>
    <w:rsid w:val="547C41CC"/>
    <w:rsid w:val="55345152"/>
    <w:rsid w:val="55415045"/>
    <w:rsid w:val="55644316"/>
    <w:rsid w:val="557D6736"/>
    <w:rsid w:val="55DF3F05"/>
    <w:rsid w:val="56055FBF"/>
    <w:rsid w:val="566F4AFB"/>
    <w:rsid w:val="569A4274"/>
    <w:rsid w:val="56BC4B56"/>
    <w:rsid w:val="56DC4982"/>
    <w:rsid w:val="56E447F7"/>
    <w:rsid w:val="57C700CA"/>
    <w:rsid w:val="58091A66"/>
    <w:rsid w:val="58124487"/>
    <w:rsid w:val="583628E4"/>
    <w:rsid w:val="583917D9"/>
    <w:rsid w:val="58A67A6A"/>
    <w:rsid w:val="58B009C8"/>
    <w:rsid w:val="58EA0054"/>
    <w:rsid w:val="58F010DA"/>
    <w:rsid w:val="592E06B5"/>
    <w:rsid w:val="594F6F96"/>
    <w:rsid w:val="59831F4D"/>
    <w:rsid w:val="59D93E6F"/>
    <w:rsid w:val="59DF1850"/>
    <w:rsid w:val="59E63C88"/>
    <w:rsid w:val="59F3A9E9"/>
    <w:rsid w:val="5AF10351"/>
    <w:rsid w:val="5B044F1C"/>
    <w:rsid w:val="5B155C32"/>
    <w:rsid w:val="5B3D3F8A"/>
    <w:rsid w:val="5B490C9B"/>
    <w:rsid w:val="5B6B47E0"/>
    <w:rsid w:val="5B877304"/>
    <w:rsid w:val="5BBB2BA1"/>
    <w:rsid w:val="5BF303C8"/>
    <w:rsid w:val="5C190553"/>
    <w:rsid w:val="5C5036E1"/>
    <w:rsid w:val="5CC26E3C"/>
    <w:rsid w:val="5D0B433F"/>
    <w:rsid w:val="5D4C47F5"/>
    <w:rsid w:val="5D9500AD"/>
    <w:rsid w:val="5D9F5E55"/>
    <w:rsid w:val="5DB42C29"/>
    <w:rsid w:val="5DEC23C3"/>
    <w:rsid w:val="5DFE449F"/>
    <w:rsid w:val="5E59557E"/>
    <w:rsid w:val="5EBD02DA"/>
    <w:rsid w:val="5EEB5BE4"/>
    <w:rsid w:val="5F5554C1"/>
    <w:rsid w:val="601F04F5"/>
    <w:rsid w:val="602359E9"/>
    <w:rsid w:val="60A30D33"/>
    <w:rsid w:val="6154366A"/>
    <w:rsid w:val="618943CD"/>
    <w:rsid w:val="636A451B"/>
    <w:rsid w:val="63D03139"/>
    <w:rsid w:val="63F54C8B"/>
    <w:rsid w:val="642B3519"/>
    <w:rsid w:val="64333119"/>
    <w:rsid w:val="658729D1"/>
    <w:rsid w:val="65B5753E"/>
    <w:rsid w:val="65BD20CA"/>
    <w:rsid w:val="65C5081A"/>
    <w:rsid w:val="65CD2ADA"/>
    <w:rsid w:val="65F11E0E"/>
    <w:rsid w:val="661C7073"/>
    <w:rsid w:val="667E5B82"/>
    <w:rsid w:val="6695091E"/>
    <w:rsid w:val="674F26B6"/>
    <w:rsid w:val="67561312"/>
    <w:rsid w:val="678C6642"/>
    <w:rsid w:val="67AF8102"/>
    <w:rsid w:val="67BB151A"/>
    <w:rsid w:val="68140A98"/>
    <w:rsid w:val="68213F33"/>
    <w:rsid w:val="68395421"/>
    <w:rsid w:val="688E42B7"/>
    <w:rsid w:val="68B82CC6"/>
    <w:rsid w:val="693D1D24"/>
    <w:rsid w:val="693D36F2"/>
    <w:rsid w:val="696A6892"/>
    <w:rsid w:val="69740734"/>
    <w:rsid w:val="6A37307D"/>
    <w:rsid w:val="6A3B03D2"/>
    <w:rsid w:val="6A56671C"/>
    <w:rsid w:val="6ACA67EA"/>
    <w:rsid w:val="6B0469ED"/>
    <w:rsid w:val="6B187327"/>
    <w:rsid w:val="6B4649F7"/>
    <w:rsid w:val="6B5254FD"/>
    <w:rsid w:val="6B671BCE"/>
    <w:rsid w:val="6B7333F4"/>
    <w:rsid w:val="6B8B75B3"/>
    <w:rsid w:val="6BDD1A40"/>
    <w:rsid w:val="6C6D0B73"/>
    <w:rsid w:val="6C92211C"/>
    <w:rsid w:val="6CE03AB2"/>
    <w:rsid w:val="6D0C589E"/>
    <w:rsid w:val="6D163255"/>
    <w:rsid w:val="6D46178C"/>
    <w:rsid w:val="6DB050C3"/>
    <w:rsid w:val="6DDE717B"/>
    <w:rsid w:val="6DFFFC55"/>
    <w:rsid w:val="6E453572"/>
    <w:rsid w:val="6E894584"/>
    <w:rsid w:val="6ECE1304"/>
    <w:rsid w:val="6F4216A6"/>
    <w:rsid w:val="6F9D735C"/>
    <w:rsid w:val="6FAA050C"/>
    <w:rsid w:val="6FBC2931"/>
    <w:rsid w:val="6FFFE7CB"/>
    <w:rsid w:val="704D0A67"/>
    <w:rsid w:val="70676C85"/>
    <w:rsid w:val="708A2AAD"/>
    <w:rsid w:val="70D311C0"/>
    <w:rsid w:val="715416A2"/>
    <w:rsid w:val="71BC0466"/>
    <w:rsid w:val="71DF7A75"/>
    <w:rsid w:val="72075213"/>
    <w:rsid w:val="727E63EF"/>
    <w:rsid w:val="7306762B"/>
    <w:rsid w:val="75023E22"/>
    <w:rsid w:val="751111C4"/>
    <w:rsid w:val="75461F61"/>
    <w:rsid w:val="75744991"/>
    <w:rsid w:val="75D641C7"/>
    <w:rsid w:val="75F10C3B"/>
    <w:rsid w:val="76835805"/>
    <w:rsid w:val="76E75D17"/>
    <w:rsid w:val="770A115E"/>
    <w:rsid w:val="771F1555"/>
    <w:rsid w:val="773637E3"/>
    <w:rsid w:val="773F4181"/>
    <w:rsid w:val="77512E3F"/>
    <w:rsid w:val="779D8849"/>
    <w:rsid w:val="77A73CC6"/>
    <w:rsid w:val="77DBF2A5"/>
    <w:rsid w:val="77F61249"/>
    <w:rsid w:val="783E5FF8"/>
    <w:rsid w:val="791FA514"/>
    <w:rsid w:val="79452CAC"/>
    <w:rsid w:val="794F33AE"/>
    <w:rsid w:val="79966601"/>
    <w:rsid w:val="79EF2E9D"/>
    <w:rsid w:val="7A7E0956"/>
    <w:rsid w:val="7ACD6C80"/>
    <w:rsid w:val="7ACE08FD"/>
    <w:rsid w:val="7B191EC6"/>
    <w:rsid w:val="7B2E6213"/>
    <w:rsid w:val="7B3063FD"/>
    <w:rsid w:val="7B886276"/>
    <w:rsid w:val="7B9D4959"/>
    <w:rsid w:val="7BF3E1F5"/>
    <w:rsid w:val="7BF56E49"/>
    <w:rsid w:val="7BF85B9E"/>
    <w:rsid w:val="7C3540B8"/>
    <w:rsid w:val="7CCE14F5"/>
    <w:rsid w:val="7CF95EC8"/>
    <w:rsid w:val="7CFFADFA"/>
    <w:rsid w:val="7D410BF7"/>
    <w:rsid w:val="7DCC76C3"/>
    <w:rsid w:val="7DCD68E5"/>
    <w:rsid w:val="7DD17383"/>
    <w:rsid w:val="7DDA593C"/>
    <w:rsid w:val="7E1C5F55"/>
    <w:rsid w:val="7E25732C"/>
    <w:rsid w:val="7E696CC0"/>
    <w:rsid w:val="7E9FC01B"/>
    <w:rsid w:val="7EB32F71"/>
    <w:rsid w:val="7F473DC4"/>
    <w:rsid w:val="7F7F0282"/>
    <w:rsid w:val="7F8525BC"/>
    <w:rsid w:val="7FA924E4"/>
    <w:rsid w:val="7FBFC038"/>
    <w:rsid w:val="7FDF716C"/>
    <w:rsid w:val="7FFC1E06"/>
    <w:rsid w:val="7FFF66B3"/>
    <w:rsid w:val="8BBDBACE"/>
    <w:rsid w:val="A33FA57D"/>
    <w:rsid w:val="BAFAE731"/>
    <w:rsid w:val="BEFFFDF5"/>
    <w:rsid w:val="BFEF6627"/>
    <w:rsid w:val="CFBDA44B"/>
    <w:rsid w:val="DA77983A"/>
    <w:rsid w:val="DDCFBDDB"/>
    <w:rsid w:val="DEF8EE29"/>
    <w:rsid w:val="EE979AED"/>
    <w:rsid w:val="F0B5CBAD"/>
    <w:rsid w:val="F4CD1036"/>
    <w:rsid w:val="F9EEAB08"/>
    <w:rsid w:val="FAEB2073"/>
    <w:rsid w:val="FBFB218E"/>
    <w:rsid w:val="FBFE9D80"/>
    <w:rsid w:val="FCFE4A42"/>
    <w:rsid w:val="FE7FDF32"/>
    <w:rsid w:val="FE83D48A"/>
    <w:rsid w:val="FEEDF2CF"/>
    <w:rsid w:val="FFB722A7"/>
    <w:rsid w:val="FFD7433B"/>
    <w:rsid w:val="FFD9C7DD"/>
    <w:rsid w:val="FFEF426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20" w:lineRule="exact"/>
      <w:ind w:firstLine="200" w:firstLineChars="200"/>
      <w:jc w:val="both"/>
    </w:pPr>
    <w:rPr>
      <w:rFonts w:ascii="Times New Roman" w:hAnsi="Times New Roman" w:eastAsia="仿宋_GB2312" w:cstheme="minorBidi"/>
      <w:kern w:val="2"/>
      <w:sz w:val="32"/>
      <w:szCs w:val="24"/>
      <w:lang w:val="en-US" w:eastAsia="zh-CN" w:bidi="ar-SA"/>
    </w:rPr>
  </w:style>
  <w:style w:type="paragraph" w:styleId="4">
    <w:name w:val="heading 1"/>
    <w:basedOn w:val="1"/>
    <w:next w:val="1"/>
    <w:link w:val="30"/>
    <w:qFormat/>
    <w:uiPriority w:val="0"/>
    <w:pPr>
      <w:keepNext/>
      <w:keepLines/>
      <w:jc w:val="left"/>
      <w:outlineLvl w:val="0"/>
    </w:pPr>
    <w:rPr>
      <w:rFonts w:eastAsia="黑体"/>
      <w:bCs/>
      <w:color w:val="000000"/>
      <w:kern w:val="44"/>
      <w:szCs w:val="44"/>
    </w:rPr>
  </w:style>
  <w:style w:type="paragraph" w:styleId="5">
    <w:name w:val="heading 2"/>
    <w:basedOn w:val="1"/>
    <w:next w:val="1"/>
    <w:link w:val="28"/>
    <w:unhideWhenUsed/>
    <w:qFormat/>
    <w:uiPriority w:val="9"/>
    <w:pPr>
      <w:keepNext/>
      <w:keepLines/>
      <w:outlineLvl w:val="1"/>
    </w:pPr>
    <w:rPr>
      <w:rFonts w:eastAsia="楷体_GB2312" w:asciiTheme="minorHAnsi" w:hAnsiTheme="minorHAnsi" w:cstheme="majorBidi"/>
      <w:b/>
      <w:bCs/>
      <w:szCs w:val="32"/>
    </w:rPr>
  </w:style>
  <w:style w:type="paragraph" w:styleId="6">
    <w:name w:val="heading 3"/>
    <w:basedOn w:val="1"/>
    <w:next w:val="1"/>
    <w:link w:val="29"/>
    <w:unhideWhenUsed/>
    <w:qFormat/>
    <w:uiPriority w:val="9"/>
    <w:pPr>
      <w:keepNext/>
      <w:keepLines/>
      <w:adjustRightInd w:val="0"/>
      <w:snapToGrid w:val="0"/>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3"/>
    <w:qFormat/>
    <w:uiPriority w:val="0"/>
    <w:pPr>
      <w:spacing w:after="0" w:line="300" w:lineRule="auto"/>
      <w:ind w:left="0" w:leftChars="0"/>
    </w:pPr>
  </w:style>
  <w:style w:type="paragraph" w:styleId="3">
    <w:name w:val="Body Text Indent 2"/>
    <w:basedOn w:val="1"/>
    <w:qFormat/>
    <w:uiPriority w:val="0"/>
    <w:pPr>
      <w:spacing w:after="120" w:line="480" w:lineRule="auto"/>
      <w:ind w:left="420" w:leftChars="200"/>
    </w:pPr>
  </w:style>
  <w:style w:type="paragraph" w:styleId="7">
    <w:name w:val="annotation text"/>
    <w:basedOn w:val="1"/>
    <w:qFormat/>
    <w:uiPriority w:val="0"/>
  </w:style>
  <w:style w:type="paragraph" w:styleId="8">
    <w:name w:val="Body Text"/>
    <w:basedOn w:val="1"/>
    <w:next w:val="1"/>
    <w:qFormat/>
    <w:uiPriority w:val="0"/>
    <w:pPr>
      <w:spacing w:line="560" w:lineRule="exact"/>
      <w:ind w:firstLine="880"/>
    </w:pPr>
    <w:rPr>
      <w:rFonts w:ascii="Garamond" w:hAnsi="Garamond" w:eastAsia="宋体" w:cs="Times New Roman"/>
      <w:sz w:val="21"/>
      <w:szCs w:val="22"/>
    </w:rPr>
  </w:style>
  <w:style w:type="paragraph" w:styleId="9">
    <w:name w:val="toc 3"/>
    <w:basedOn w:val="1"/>
    <w:next w:val="1"/>
    <w:semiHidden/>
    <w:unhideWhenUsed/>
    <w:qFormat/>
    <w:uiPriority w:val="39"/>
    <w:pPr>
      <w:ind w:left="840" w:leftChars="400"/>
    </w:pPr>
  </w:style>
  <w:style w:type="paragraph" w:styleId="10">
    <w:name w:val="Balloon Text"/>
    <w:basedOn w:val="1"/>
    <w:link w:val="43"/>
    <w:semiHidden/>
    <w:unhideWhenUsed/>
    <w:qFormat/>
    <w:uiPriority w:val="99"/>
    <w:pPr>
      <w:spacing w:line="240" w:lineRule="auto"/>
    </w:pPr>
    <w:rPr>
      <w:sz w:val="18"/>
      <w:szCs w:val="18"/>
    </w:rPr>
  </w:style>
  <w:style w:type="paragraph" w:styleId="11">
    <w:name w:val="footer"/>
    <w:basedOn w:val="1"/>
    <w:link w:val="32"/>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link w:val="26"/>
    <w:qFormat/>
    <w:uiPriority w:val="39"/>
    <w:pPr>
      <w:tabs>
        <w:tab w:val="right" w:leader="middleDot" w:pos="8298"/>
      </w:tabs>
      <w:ind w:firstLine="0" w:firstLineChars="0"/>
      <w:jc w:val="left"/>
    </w:pPr>
    <w:rPr>
      <w:rFonts w:eastAsia="黑体" w:asciiTheme="minorHAnsi" w:hAnsiTheme="minorHAnsi"/>
    </w:rPr>
  </w:style>
  <w:style w:type="paragraph" w:styleId="14">
    <w:name w:val="toc 2"/>
    <w:basedOn w:val="1"/>
    <w:next w:val="1"/>
    <w:link w:val="27"/>
    <w:unhideWhenUsed/>
    <w:qFormat/>
    <w:uiPriority w:val="39"/>
    <w:pPr>
      <w:tabs>
        <w:tab w:val="right" w:pos="8298"/>
      </w:tabs>
      <w:ind w:left="221" w:firstLine="0" w:firstLineChars="0"/>
    </w:pPr>
    <w:rPr>
      <w:rFonts w:eastAsia="楷体_GB2312" w:asciiTheme="minorHAnsi" w:hAnsiTheme="minorHAnsi"/>
    </w:rPr>
  </w:style>
  <w:style w:type="paragraph" w:styleId="15">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styleId="16">
    <w:name w:val="Title"/>
    <w:basedOn w:val="1"/>
    <w:next w:val="1"/>
    <w:qFormat/>
    <w:uiPriority w:val="99"/>
    <w:pPr>
      <w:jc w:val="center"/>
      <w:outlineLvl w:val="0"/>
    </w:pPr>
    <w:rPr>
      <w:rFonts w:ascii="仿宋_GB2312" w:eastAsia="黑体" w:cs="Times New Roman"/>
      <w:b/>
      <w:sz w:val="36"/>
      <w:szCs w:val="36"/>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Emphasis"/>
    <w:basedOn w:val="19"/>
    <w:qFormat/>
    <w:uiPriority w:val="20"/>
    <w:rPr>
      <w:i/>
    </w:rPr>
  </w:style>
  <w:style w:type="character" w:styleId="22">
    <w:name w:val="annotation reference"/>
    <w:basedOn w:val="19"/>
    <w:qFormat/>
    <w:uiPriority w:val="0"/>
    <w:rPr>
      <w:sz w:val="21"/>
      <w:szCs w:val="21"/>
    </w:rPr>
  </w:style>
  <w:style w:type="paragraph" w:customStyle="1" w:styleId="23">
    <w:name w:val="ql-long-22797840"/>
    <w:basedOn w:val="1"/>
    <w:qFormat/>
    <w:uiPriority w:val="0"/>
    <w:pPr>
      <w:spacing w:before="100" w:beforeAutospacing="1" w:after="100" w:afterAutospacing="1"/>
    </w:pPr>
    <w:rPr>
      <w:rFonts w:ascii="宋体" w:hAnsi="宋体" w:eastAsia="宋体"/>
      <w:sz w:val="24"/>
    </w:rPr>
  </w:style>
  <w:style w:type="character" w:customStyle="1" w:styleId="24">
    <w:name w:val="标题 2 字符"/>
    <w:basedOn w:val="19"/>
    <w:qFormat/>
    <w:uiPriority w:val="9"/>
    <w:rPr>
      <w:rFonts w:ascii="Times New Roman" w:hAnsi="Times New Roman" w:eastAsia="楷体_GB2312" w:cstheme="majorBidi"/>
      <w:bCs/>
      <w:sz w:val="32"/>
      <w:szCs w:val="32"/>
    </w:rPr>
  </w:style>
  <w:style w:type="character" w:customStyle="1" w:styleId="25">
    <w:name w:val="标题 1 字符"/>
    <w:basedOn w:val="19"/>
    <w:qFormat/>
    <w:uiPriority w:val="9"/>
    <w:rPr>
      <w:rFonts w:ascii="Times New Roman" w:hAnsi="Times New Roman" w:eastAsia="黑体"/>
      <w:bCs/>
      <w:color w:val="000000"/>
      <w:kern w:val="44"/>
      <w:sz w:val="32"/>
      <w:szCs w:val="44"/>
    </w:rPr>
  </w:style>
  <w:style w:type="character" w:customStyle="1" w:styleId="26">
    <w:name w:val="TOC 1 字符"/>
    <w:basedOn w:val="19"/>
    <w:link w:val="13"/>
    <w:qFormat/>
    <w:uiPriority w:val="39"/>
    <w:rPr>
      <w:rFonts w:eastAsia="黑体"/>
      <w:sz w:val="32"/>
      <w:szCs w:val="24"/>
    </w:rPr>
  </w:style>
  <w:style w:type="character" w:customStyle="1" w:styleId="27">
    <w:name w:val="TOC 2 字符"/>
    <w:basedOn w:val="19"/>
    <w:link w:val="14"/>
    <w:qFormat/>
    <w:uiPriority w:val="39"/>
    <w:rPr>
      <w:rFonts w:eastAsia="楷体_GB2312"/>
      <w:sz w:val="32"/>
    </w:rPr>
  </w:style>
  <w:style w:type="character" w:customStyle="1" w:styleId="28">
    <w:name w:val="标题 2 字符1"/>
    <w:basedOn w:val="19"/>
    <w:link w:val="5"/>
    <w:qFormat/>
    <w:uiPriority w:val="9"/>
    <w:rPr>
      <w:rFonts w:eastAsia="楷体_GB2312" w:cstheme="majorBidi"/>
      <w:b/>
      <w:bCs/>
      <w:sz w:val="32"/>
      <w:szCs w:val="32"/>
    </w:rPr>
  </w:style>
  <w:style w:type="character" w:customStyle="1" w:styleId="29">
    <w:name w:val="标题 3 字符"/>
    <w:basedOn w:val="19"/>
    <w:link w:val="6"/>
    <w:qFormat/>
    <w:uiPriority w:val="9"/>
    <w:rPr>
      <w:rFonts w:ascii="Times New Roman" w:hAnsi="Times New Roman" w:eastAsia="仿宋_GB2312"/>
      <w:b/>
      <w:bCs/>
      <w:kern w:val="2"/>
      <w:sz w:val="32"/>
      <w:szCs w:val="32"/>
    </w:rPr>
  </w:style>
  <w:style w:type="character" w:customStyle="1" w:styleId="30">
    <w:name w:val="标题 1 字符1"/>
    <w:basedOn w:val="19"/>
    <w:link w:val="4"/>
    <w:qFormat/>
    <w:uiPriority w:val="0"/>
    <w:rPr>
      <w:rFonts w:ascii="Times New Roman" w:hAnsi="Times New Roman" w:eastAsia="黑体"/>
      <w:bCs/>
      <w:color w:val="000000"/>
      <w:kern w:val="44"/>
      <w:sz w:val="32"/>
      <w:szCs w:val="44"/>
    </w:rPr>
  </w:style>
  <w:style w:type="character" w:customStyle="1" w:styleId="31">
    <w:name w:val="页眉 字符"/>
    <w:basedOn w:val="19"/>
    <w:link w:val="12"/>
    <w:qFormat/>
    <w:uiPriority w:val="99"/>
    <w:rPr>
      <w:rFonts w:ascii="Times New Roman" w:hAnsi="Times New Roman" w:eastAsia="仿宋_GB2312"/>
      <w:kern w:val="2"/>
      <w:sz w:val="18"/>
      <w:szCs w:val="18"/>
    </w:rPr>
  </w:style>
  <w:style w:type="character" w:customStyle="1" w:styleId="32">
    <w:name w:val="页脚 字符"/>
    <w:basedOn w:val="19"/>
    <w:link w:val="11"/>
    <w:qFormat/>
    <w:uiPriority w:val="99"/>
    <w:rPr>
      <w:rFonts w:ascii="Times New Roman" w:hAnsi="Times New Roman" w:eastAsia="仿宋_GB2312"/>
      <w:kern w:val="2"/>
      <w:sz w:val="18"/>
      <w:szCs w:val="18"/>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6">
    <w:name w:val="图表标题"/>
    <w:basedOn w:val="2"/>
    <w:qFormat/>
    <w:uiPriority w:val="1"/>
    <w:pPr>
      <w:ind w:firstLine="420"/>
      <w:jc w:val="center"/>
    </w:pPr>
    <w:rPr>
      <w:sz w:val="21"/>
      <w:szCs w:val="21"/>
    </w:rPr>
  </w:style>
  <w:style w:type="paragraph" w:customStyle="1" w:styleId="37">
    <w:name w:val="修订1"/>
    <w:hidden/>
    <w:semiHidden/>
    <w:qFormat/>
    <w:uiPriority w:val="99"/>
    <w:rPr>
      <w:rFonts w:ascii="Times New Roman" w:hAnsi="Times New Roman" w:eastAsia="仿宋_GB2312" w:cstheme="minorBidi"/>
      <w:kern w:val="2"/>
      <w:sz w:val="32"/>
      <w:szCs w:val="24"/>
      <w:lang w:val="en-US" w:eastAsia="zh-CN" w:bidi="ar-SA"/>
    </w:rPr>
  </w:style>
  <w:style w:type="paragraph" w:customStyle="1" w:styleId="38">
    <w:name w:val="修订2"/>
    <w:hidden/>
    <w:semiHidden/>
    <w:qFormat/>
    <w:uiPriority w:val="99"/>
    <w:rPr>
      <w:rFonts w:ascii="Times New Roman" w:hAnsi="Times New Roman" w:eastAsia="仿宋_GB2312" w:cstheme="minorBidi"/>
      <w:kern w:val="2"/>
      <w:sz w:val="32"/>
      <w:szCs w:val="24"/>
      <w:lang w:val="en-US" w:eastAsia="zh-CN" w:bidi="ar-SA"/>
    </w:rPr>
  </w:style>
  <w:style w:type="paragraph" w:customStyle="1" w:styleId="39">
    <w:name w:val="修订3"/>
    <w:hidden/>
    <w:semiHidden/>
    <w:qFormat/>
    <w:uiPriority w:val="99"/>
    <w:rPr>
      <w:rFonts w:ascii="Times New Roman" w:hAnsi="Times New Roman" w:eastAsia="仿宋_GB2312" w:cstheme="minorBidi"/>
      <w:kern w:val="2"/>
      <w:sz w:val="32"/>
      <w:szCs w:val="24"/>
      <w:lang w:val="en-US" w:eastAsia="zh-CN" w:bidi="ar-SA"/>
    </w:rPr>
  </w:style>
  <w:style w:type="paragraph" w:customStyle="1" w:styleId="40">
    <w:name w:val="修订4"/>
    <w:hidden/>
    <w:semiHidden/>
    <w:qFormat/>
    <w:uiPriority w:val="99"/>
    <w:rPr>
      <w:rFonts w:ascii="Times New Roman" w:hAnsi="Times New Roman" w:eastAsia="仿宋_GB2312" w:cstheme="minorBidi"/>
      <w:kern w:val="2"/>
      <w:sz w:val="32"/>
      <w:szCs w:val="24"/>
      <w:lang w:val="en-US" w:eastAsia="zh-CN" w:bidi="ar-SA"/>
    </w:rPr>
  </w:style>
  <w:style w:type="paragraph" w:customStyle="1" w:styleId="41">
    <w:name w:val="修订5"/>
    <w:hidden/>
    <w:semiHidden/>
    <w:qFormat/>
    <w:uiPriority w:val="99"/>
    <w:rPr>
      <w:rFonts w:ascii="Times New Roman" w:hAnsi="Times New Roman" w:eastAsia="仿宋_GB2312" w:cstheme="minorBidi"/>
      <w:kern w:val="2"/>
      <w:sz w:val="32"/>
      <w:szCs w:val="24"/>
      <w:lang w:val="en-US" w:eastAsia="zh-CN" w:bidi="ar-SA"/>
    </w:rPr>
  </w:style>
  <w:style w:type="paragraph" w:customStyle="1" w:styleId="42">
    <w:name w:val="修订6"/>
    <w:hidden/>
    <w:semiHidden/>
    <w:qFormat/>
    <w:uiPriority w:val="99"/>
    <w:rPr>
      <w:rFonts w:ascii="Times New Roman" w:hAnsi="Times New Roman" w:eastAsia="仿宋_GB2312" w:cstheme="minorBidi"/>
      <w:kern w:val="2"/>
      <w:sz w:val="32"/>
      <w:szCs w:val="24"/>
      <w:lang w:val="en-US" w:eastAsia="zh-CN" w:bidi="ar-SA"/>
    </w:rPr>
  </w:style>
  <w:style w:type="character" w:customStyle="1" w:styleId="43">
    <w:name w:val="批注框文本 字符"/>
    <w:basedOn w:val="19"/>
    <w:link w:val="10"/>
    <w:semiHidden/>
    <w:qFormat/>
    <w:uiPriority w:val="99"/>
    <w:rPr>
      <w:rFonts w:eastAsia="仿宋_GB2312" w:cstheme="minorBidi"/>
      <w:kern w:val="2"/>
      <w:sz w:val="18"/>
      <w:szCs w:val="18"/>
    </w:rPr>
  </w:style>
  <w:style w:type="paragraph" w:customStyle="1" w:styleId="44">
    <w:name w:val="Revision"/>
    <w:hidden/>
    <w:semiHidden/>
    <w:qFormat/>
    <w:uiPriority w:val="99"/>
    <w:rPr>
      <w:rFonts w:ascii="Times New Roman" w:hAnsi="Times New Roman" w:eastAsia="仿宋_GB2312"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4037;&#20316;&#31807;2.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lenovo\Desktop\&#24037;&#20316;&#31807;2.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4037;&#20316;&#31807;2.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4037;&#20316;&#318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[工作簿2.xlsx]Sheet4!$B$1</c:f>
              <c:strCache>
                <c:ptCount val="1"/>
                <c:pt idx="0">
                  <c:v>软件业务收入（万亿元）</c:v>
                </c:pt>
              </c:strCache>
            </c:strRef>
          </c:tx>
          <c:spPr>
            <a:solidFill>
              <a:schemeClr val="accent1"/>
            </a:solidFill>
            <a:ln>
              <a:noFill/>
            </a:ln>
            <a:effectLst/>
          </c:spPr>
          <c:invertIfNegative val="0"/>
          <c:dLbls>
            <c:dLbl>
              <c:idx val="5"/>
              <c:layout>
                <c:manualLayout>
                  <c:x val="0"/>
                  <c:y val="0.023148148148148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1.0185067526416e-16"/>
                  <c:y val="0.01851851851851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[工作簿2.xlsx]Sheet4!$A$2:$A$9</c:f>
              <c:numCache>
                <c:formatCode>General</c:formatCode>
                <c:ptCount val="8"/>
                <c:pt idx="0">
                  <c:v>2015</c:v>
                </c:pt>
                <c:pt idx="1">
                  <c:v>2016</c:v>
                </c:pt>
                <c:pt idx="2">
                  <c:v>2017</c:v>
                </c:pt>
                <c:pt idx="3">
                  <c:v>2018</c:v>
                </c:pt>
                <c:pt idx="4">
                  <c:v>2019</c:v>
                </c:pt>
                <c:pt idx="5">
                  <c:v>2020</c:v>
                </c:pt>
                <c:pt idx="6">
                  <c:v>2021</c:v>
                </c:pt>
                <c:pt idx="7">
                  <c:v>2022</c:v>
                </c:pt>
              </c:numCache>
            </c:numRef>
          </c:cat>
          <c:val>
            <c:numRef>
              <c:f>[工作簿2.xlsx]Sheet4!$B$2:$B$9</c:f>
              <c:numCache>
                <c:formatCode>0.00_ </c:formatCode>
                <c:ptCount val="8"/>
                <c:pt idx="0">
                  <c:v>4.2848</c:v>
                </c:pt>
                <c:pt idx="1">
                  <c:v>4.8232</c:v>
                </c:pt>
                <c:pt idx="2">
                  <c:v>5.5103</c:v>
                </c:pt>
                <c:pt idx="3">
                  <c:v>6.1909</c:v>
                </c:pt>
                <c:pt idx="4">
                  <c:v>7.2072</c:v>
                </c:pt>
                <c:pt idx="5">
                  <c:v>8.1586</c:v>
                </c:pt>
                <c:pt idx="6">
                  <c:v>9.5502</c:v>
                </c:pt>
                <c:pt idx="7">
                  <c:v>10.8126</c:v>
                </c:pt>
              </c:numCache>
            </c:numRef>
          </c:val>
        </c:ser>
        <c:dLbls>
          <c:showLegendKey val="0"/>
          <c:showVal val="1"/>
          <c:showCatName val="0"/>
          <c:showSerName val="0"/>
          <c:showPercent val="0"/>
          <c:showBubbleSize val="0"/>
        </c:dLbls>
        <c:gapWidth val="219"/>
        <c:axId val="1305627423"/>
        <c:axId val="1305628863"/>
      </c:barChart>
      <c:lineChart>
        <c:grouping val="standard"/>
        <c:varyColors val="0"/>
        <c:ser>
          <c:idx val="1"/>
          <c:order val="1"/>
          <c:tx>
            <c:strRef>
              <c:f>[工作簿2.xlsx]Sheet4!$C$1</c:f>
              <c:strCache>
                <c:ptCount val="1"/>
                <c:pt idx="0">
                  <c:v>增速（%）</c:v>
                </c:pt>
              </c:strCache>
            </c:strRef>
          </c:tx>
          <c:spPr>
            <a:ln w="28575" cap="rnd">
              <a:solidFill>
                <a:schemeClr val="accent2"/>
              </a:solidFill>
              <a:round/>
            </a:ln>
            <a:effectLst/>
          </c:spPr>
          <c:marker>
            <c:symbol val="none"/>
          </c:marker>
          <c:dLbls>
            <c:dLbl>
              <c:idx val="5"/>
              <c:layout>
                <c:manualLayout>
                  <c:x val="-0.0416666666666667"/>
                  <c:y val="-0.064814814814814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416666666666667"/>
                  <c:y val="-0.0092592592592592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[工作簿2.xlsx]Sheet4!$A$2:$A$9</c:f>
              <c:numCache>
                <c:formatCode>General</c:formatCode>
                <c:ptCount val="8"/>
                <c:pt idx="0">
                  <c:v>2015</c:v>
                </c:pt>
                <c:pt idx="1">
                  <c:v>2016</c:v>
                </c:pt>
                <c:pt idx="2">
                  <c:v>2017</c:v>
                </c:pt>
                <c:pt idx="3">
                  <c:v>2018</c:v>
                </c:pt>
                <c:pt idx="4">
                  <c:v>2019</c:v>
                </c:pt>
                <c:pt idx="5">
                  <c:v>2020</c:v>
                </c:pt>
                <c:pt idx="6">
                  <c:v>2021</c:v>
                </c:pt>
                <c:pt idx="7">
                  <c:v>2022</c:v>
                </c:pt>
              </c:numCache>
            </c:numRef>
          </c:cat>
          <c:val>
            <c:numRef>
              <c:f>[工作簿2.xlsx]Sheet4!$C$2:$C$9</c:f>
              <c:numCache>
                <c:formatCode>General</c:formatCode>
                <c:ptCount val="8"/>
                <c:pt idx="0">
                  <c:v>15.7</c:v>
                </c:pt>
                <c:pt idx="1">
                  <c:v>12.6</c:v>
                </c:pt>
                <c:pt idx="2">
                  <c:v>14.2</c:v>
                </c:pt>
                <c:pt idx="3">
                  <c:v>12.4</c:v>
                </c:pt>
                <c:pt idx="4">
                  <c:v>16.4</c:v>
                </c:pt>
                <c:pt idx="5">
                  <c:v>13.2</c:v>
                </c:pt>
                <c:pt idx="6">
                  <c:v>17.1</c:v>
                </c:pt>
                <c:pt idx="7">
                  <c:v>11.2</c:v>
                </c:pt>
              </c:numCache>
            </c:numRef>
          </c:val>
          <c:smooth val="0"/>
        </c:ser>
        <c:dLbls>
          <c:showLegendKey val="0"/>
          <c:showVal val="1"/>
          <c:showCatName val="0"/>
          <c:showSerName val="0"/>
          <c:showPercent val="0"/>
          <c:showBubbleSize val="0"/>
        </c:dLbls>
        <c:marker val="0"/>
        <c:smooth val="0"/>
        <c:axId val="1653466303"/>
        <c:axId val="1653469663"/>
      </c:lineChart>
      <c:catAx>
        <c:axId val="1305627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5628863"/>
        <c:crosses val="autoZero"/>
        <c:auto val="1"/>
        <c:lblAlgn val="ctr"/>
        <c:lblOffset val="100"/>
        <c:noMultiLvlLbl val="0"/>
      </c:catAx>
      <c:valAx>
        <c:axId val="1305628863"/>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5627423"/>
        <c:crosses val="autoZero"/>
        <c:crossBetween val="between"/>
      </c:valAx>
      <c:catAx>
        <c:axId val="1653466303"/>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53469663"/>
        <c:crosses val="autoZero"/>
        <c:auto val="1"/>
        <c:lblAlgn val="ctr"/>
        <c:lblOffset val="100"/>
        <c:noMultiLvlLbl val="0"/>
      </c:catAx>
      <c:valAx>
        <c:axId val="1653469663"/>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53466303"/>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6d11c92-6156-4f83-8eb5-f1365acda8f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[工作簿2.xlsx]Sheet1!$C$1</c:f>
              <c:strCache>
                <c:ptCount val="1"/>
                <c:pt idx="0">
                  <c:v>2021年收入（万亿元）</c:v>
                </c:pt>
              </c:strCache>
            </c:strRef>
          </c:tx>
          <c:spPr>
            <a:solidFill>
              <a:schemeClr val="accent2"/>
            </a:solidFill>
            <a:ln>
              <a:noFill/>
            </a:ln>
            <a:effectLst/>
          </c:spPr>
          <c:invertIfNegative val="0"/>
          <c:dLbls>
            <c:delete val="1"/>
          </c:dLbls>
          <c:cat>
            <c:strRef>
              <c:f>[工作簿2.xlsx]Sheet1!$A$2:$A$19</c:f>
              <c:strCache>
                <c:ptCount val="18"/>
                <c:pt idx="0">
                  <c:v>平台运营服务</c:v>
                </c:pt>
                <c:pt idx="1">
                  <c:v>应用软件</c:v>
                </c:pt>
                <c:pt idx="2">
                  <c:v>信息技术咨询设计服务</c:v>
                </c:pt>
                <c:pt idx="3">
                  <c:v>嵌入式系统软件行业合计</c:v>
                </c:pt>
                <c:pt idx="4">
                  <c:v>数据服务</c:v>
                </c:pt>
                <c:pt idx="5">
                  <c:v>信息系统集成实施服务</c:v>
                </c:pt>
                <c:pt idx="6">
                  <c:v>电子商务平台技术服务</c:v>
                </c:pt>
                <c:pt idx="7">
                  <c:v>集成电路设计</c:v>
                </c:pt>
                <c:pt idx="8">
                  <c:v>云服务</c:v>
                </c:pt>
                <c:pt idx="9">
                  <c:v>运行维护服务</c:v>
                </c:pt>
                <c:pt idx="10">
                  <c:v>基础软件</c:v>
                </c:pt>
                <c:pt idx="11">
                  <c:v>平台软件</c:v>
                </c:pt>
                <c:pt idx="12">
                  <c:v>嵌入式应用软件</c:v>
                </c:pt>
                <c:pt idx="13">
                  <c:v>工业软件</c:v>
                </c:pt>
                <c:pt idx="14">
                  <c:v>信息安全行业合计</c:v>
                </c:pt>
                <c:pt idx="15">
                  <c:v>定制软件</c:v>
                </c:pt>
                <c:pt idx="16">
                  <c:v>工业互联网平台服务</c:v>
                </c:pt>
                <c:pt idx="17">
                  <c:v>区块链服务</c:v>
                </c:pt>
              </c:strCache>
            </c:strRef>
          </c:cat>
          <c:val>
            <c:numRef>
              <c:f>[工作簿2.xlsx]Sheet1!$C$2:$C$19</c:f>
              <c:numCache>
                <c:formatCode>0.00_ </c:formatCode>
                <c:ptCount val="18"/>
                <c:pt idx="0">
                  <c:v>18.7486624</c:v>
                </c:pt>
                <c:pt idx="1">
                  <c:v>13.8254587</c:v>
                </c:pt>
                <c:pt idx="2">
                  <c:v>8.6496435</c:v>
                </c:pt>
                <c:pt idx="3">
                  <c:v>8.4435406</c:v>
                </c:pt>
                <c:pt idx="4">
                  <c:v>8.32487</c:v>
                </c:pt>
                <c:pt idx="5">
                  <c:v>7.236346</c:v>
                </c:pt>
                <c:pt idx="6">
                  <c:v>6.2839198</c:v>
                </c:pt>
                <c:pt idx="7">
                  <c:v>4.7079256</c:v>
                </c:pt>
                <c:pt idx="8">
                  <c:v>4.3287528</c:v>
                </c:pt>
                <c:pt idx="9">
                  <c:v>4.2631832</c:v>
                </c:pt>
                <c:pt idx="10">
                  <c:v>2.9427061</c:v>
                </c:pt>
                <c:pt idx="11">
                  <c:v>2.0461256</c:v>
                </c:pt>
                <c:pt idx="12">
                  <c:v>1.7119349</c:v>
                </c:pt>
                <c:pt idx="13">
                  <c:v>1.555299</c:v>
                </c:pt>
                <c:pt idx="14">
                  <c:v>1.3970427</c:v>
                </c:pt>
                <c:pt idx="15">
                  <c:v>0.8888376</c:v>
                </c:pt>
                <c:pt idx="16">
                  <c:v>0.0798838</c:v>
                </c:pt>
                <c:pt idx="17">
                  <c:v>0.067856</c:v>
                </c:pt>
              </c:numCache>
            </c:numRef>
          </c:val>
        </c:ser>
        <c:dLbls>
          <c:showLegendKey val="0"/>
          <c:showVal val="0"/>
          <c:showCatName val="0"/>
          <c:showSerName val="0"/>
          <c:showPercent val="0"/>
          <c:showBubbleSize val="0"/>
        </c:dLbls>
        <c:gapWidth val="150"/>
        <c:axId val="1654459087"/>
        <c:axId val="1654460047"/>
      </c:barChart>
      <c:lineChart>
        <c:grouping val="standard"/>
        <c:varyColors val="0"/>
        <c:ser>
          <c:idx val="0"/>
          <c:order val="0"/>
          <c:tx>
            <c:strRef>
              <c:f>[工作簿2.xlsx]Sheet1!$B$1</c:f>
              <c:strCache>
                <c:ptCount val="1"/>
                <c:pt idx="0">
                  <c:v>企业数量（家）</c:v>
                </c:pt>
              </c:strCache>
            </c:strRef>
          </c:tx>
          <c:spPr>
            <a:ln w="28575" cap="rnd">
              <a:solidFill>
                <a:schemeClr val="accent1"/>
              </a:solidFill>
              <a:round/>
            </a:ln>
            <a:effectLst/>
          </c:spPr>
          <c:marker>
            <c:symbol val="none"/>
          </c:marker>
          <c:dLbls>
            <c:delete val="1"/>
          </c:dLbls>
          <c:cat>
            <c:strRef>
              <c:f>[工作簿2.xlsx]Sheet1!$A$2:$A$19</c:f>
              <c:strCache>
                <c:ptCount val="18"/>
                <c:pt idx="0">
                  <c:v>平台运营服务</c:v>
                </c:pt>
                <c:pt idx="1">
                  <c:v>应用软件</c:v>
                </c:pt>
                <c:pt idx="2">
                  <c:v>信息技术咨询设计服务</c:v>
                </c:pt>
                <c:pt idx="3">
                  <c:v>嵌入式系统软件行业合计</c:v>
                </c:pt>
                <c:pt idx="4">
                  <c:v>数据服务</c:v>
                </c:pt>
                <c:pt idx="5">
                  <c:v>信息系统集成实施服务</c:v>
                </c:pt>
                <c:pt idx="6">
                  <c:v>电子商务平台技术服务</c:v>
                </c:pt>
                <c:pt idx="7">
                  <c:v>集成电路设计</c:v>
                </c:pt>
                <c:pt idx="8">
                  <c:v>云服务</c:v>
                </c:pt>
                <c:pt idx="9">
                  <c:v>运行维护服务</c:v>
                </c:pt>
                <c:pt idx="10">
                  <c:v>基础软件</c:v>
                </c:pt>
                <c:pt idx="11">
                  <c:v>平台软件</c:v>
                </c:pt>
                <c:pt idx="12">
                  <c:v>嵌入式应用软件</c:v>
                </c:pt>
                <c:pt idx="13">
                  <c:v>工业软件</c:v>
                </c:pt>
                <c:pt idx="14">
                  <c:v>信息安全行业合计</c:v>
                </c:pt>
                <c:pt idx="15">
                  <c:v>定制软件</c:v>
                </c:pt>
                <c:pt idx="16">
                  <c:v>工业互联网平台服务</c:v>
                </c:pt>
                <c:pt idx="17">
                  <c:v>区块链服务</c:v>
                </c:pt>
              </c:strCache>
            </c:strRef>
          </c:cat>
          <c:val>
            <c:numRef>
              <c:f>[工作簿2.xlsx]Sheet1!$B$2:$B$19</c:f>
              <c:numCache>
                <c:formatCode>General</c:formatCode>
                <c:ptCount val="18"/>
                <c:pt idx="0">
                  <c:v>2086</c:v>
                </c:pt>
                <c:pt idx="1">
                  <c:v>8945</c:v>
                </c:pt>
                <c:pt idx="2">
                  <c:v>4423</c:v>
                </c:pt>
                <c:pt idx="3">
                  <c:v>3344</c:v>
                </c:pt>
                <c:pt idx="4">
                  <c:v>3665</c:v>
                </c:pt>
                <c:pt idx="5">
                  <c:v>3601</c:v>
                </c:pt>
                <c:pt idx="6">
                  <c:v>846</c:v>
                </c:pt>
                <c:pt idx="7">
                  <c:v>871</c:v>
                </c:pt>
                <c:pt idx="8">
                  <c:v>1422</c:v>
                </c:pt>
                <c:pt idx="9">
                  <c:v>3481</c:v>
                </c:pt>
                <c:pt idx="10">
                  <c:v>3969</c:v>
                </c:pt>
                <c:pt idx="11">
                  <c:v>1350</c:v>
                </c:pt>
                <c:pt idx="12">
                  <c:v>1263</c:v>
                </c:pt>
                <c:pt idx="13">
                  <c:v>1657</c:v>
                </c:pt>
                <c:pt idx="14">
                  <c:v>1895</c:v>
                </c:pt>
                <c:pt idx="15">
                  <c:v>674</c:v>
                </c:pt>
                <c:pt idx="16">
                  <c:v>282</c:v>
                </c:pt>
                <c:pt idx="17">
                  <c:v>40</c:v>
                </c:pt>
              </c:numCache>
            </c:numRef>
          </c:val>
          <c:smooth val="0"/>
        </c:ser>
        <c:dLbls>
          <c:showLegendKey val="0"/>
          <c:showVal val="0"/>
          <c:showCatName val="0"/>
          <c:showSerName val="0"/>
          <c:showPercent val="0"/>
          <c:showBubbleSize val="0"/>
        </c:dLbls>
        <c:marker val="0"/>
        <c:smooth val="0"/>
        <c:axId val="1649737263"/>
        <c:axId val="1649738703"/>
      </c:lineChart>
      <c:catAx>
        <c:axId val="1649737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9738703"/>
        <c:crosses val="autoZero"/>
        <c:auto val="1"/>
        <c:lblAlgn val="ctr"/>
        <c:lblOffset val="100"/>
        <c:noMultiLvlLbl val="0"/>
      </c:catAx>
      <c:valAx>
        <c:axId val="1649738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9737263"/>
        <c:crosses val="autoZero"/>
        <c:crossBetween val="between"/>
      </c:valAx>
      <c:catAx>
        <c:axId val="1654459087"/>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54460047"/>
        <c:crosses val="autoZero"/>
        <c:auto val="1"/>
        <c:lblAlgn val="ctr"/>
        <c:lblOffset val="100"/>
        <c:noMultiLvlLbl val="0"/>
      </c:catAx>
      <c:valAx>
        <c:axId val="1654460047"/>
        <c:scaling>
          <c:orientation val="minMax"/>
        </c:scaling>
        <c:delete val="0"/>
        <c:axPos val="r"/>
        <c:numFmt formatCode="0.00_ "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54459087"/>
        <c:crosses val="max"/>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76fe9e-8953-48a1-824d-ce98e5f63d7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[工作簿2.xlsx]Sheet2!$F$1</c:f>
              <c:strCache>
                <c:ptCount val="1"/>
                <c:pt idx="0">
                  <c:v>从业人员数（万人）</c:v>
                </c:pt>
              </c:strCache>
            </c:strRef>
          </c:tx>
          <c:spPr>
            <a:solidFill>
              <a:schemeClr val="accent1"/>
            </a:solidFill>
            <a:ln>
              <a:noFill/>
            </a:ln>
            <a:effectLst/>
          </c:spPr>
          <c:invertIfNegative val="0"/>
          <c:dLbls>
            <c:delete val="1"/>
          </c:dLbls>
          <c:cat>
            <c:strRef>
              <c:f>[工作簿2.xlsx]Sheet2!$E$2:$E$31</c:f>
              <c:strCache>
                <c:ptCount val="30"/>
                <c:pt idx="0">
                  <c:v>北京</c:v>
                </c:pt>
                <c:pt idx="1">
                  <c:v>广东</c:v>
                </c:pt>
                <c:pt idx="2">
                  <c:v>江苏</c:v>
                </c:pt>
                <c:pt idx="3">
                  <c:v>山东</c:v>
                </c:pt>
                <c:pt idx="4">
                  <c:v>上海</c:v>
                </c:pt>
                <c:pt idx="5">
                  <c:v>浙江</c:v>
                </c:pt>
                <c:pt idx="6">
                  <c:v>湖北</c:v>
                </c:pt>
                <c:pt idx="7">
                  <c:v>四川</c:v>
                </c:pt>
                <c:pt idx="8">
                  <c:v>辽宁</c:v>
                </c:pt>
                <c:pt idx="9">
                  <c:v>福建</c:v>
                </c:pt>
                <c:pt idx="10">
                  <c:v>重庆</c:v>
                </c:pt>
                <c:pt idx="11">
                  <c:v>陕西</c:v>
                </c:pt>
                <c:pt idx="12">
                  <c:v>湖南</c:v>
                </c:pt>
                <c:pt idx="13">
                  <c:v>安徽</c:v>
                </c:pt>
                <c:pt idx="14">
                  <c:v>河南</c:v>
                </c:pt>
                <c:pt idx="15">
                  <c:v>天津</c:v>
                </c:pt>
                <c:pt idx="16">
                  <c:v>河北</c:v>
                </c:pt>
                <c:pt idx="17">
                  <c:v>吉林</c:v>
                </c:pt>
                <c:pt idx="18">
                  <c:v>贵州</c:v>
                </c:pt>
                <c:pt idx="19">
                  <c:v>广西</c:v>
                </c:pt>
                <c:pt idx="20">
                  <c:v>江西</c:v>
                </c:pt>
                <c:pt idx="21">
                  <c:v>云南</c:v>
                </c:pt>
                <c:pt idx="22">
                  <c:v>山西</c:v>
                </c:pt>
                <c:pt idx="23">
                  <c:v>黑龙江</c:v>
                </c:pt>
                <c:pt idx="24">
                  <c:v>新疆</c:v>
                </c:pt>
                <c:pt idx="25">
                  <c:v>甘肃</c:v>
                </c:pt>
                <c:pt idx="26">
                  <c:v>海南</c:v>
                </c:pt>
                <c:pt idx="27">
                  <c:v>宁夏</c:v>
                </c:pt>
                <c:pt idx="28">
                  <c:v>内蒙古</c:v>
                </c:pt>
                <c:pt idx="29">
                  <c:v>青海</c:v>
                </c:pt>
              </c:strCache>
            </c:strRef>
          </c:cat>
          <c:val>
            <c:numRef>
              <c:f>[工作簿2.xlsx]Sheet2!$F$2:$F$31</c:f>
              <c:numCache>
                <c:formatCode>0.00_ </c:formatCode>
                <c:ptCount val="30"/>
                <c:pt idx="0">
                  <c:v>111.4645</c:v>
                </c:pt>
                <c:pt idx="1">
                  <c:v>121.8733</c:v>
                </c:pt>
                <c:pt idx="2">
                  <c:v>93.8503</c:v>
                </c:pt>
                <c:pt idx="3">
                  <c:v>70.9485</c:v>
                </c:pt>
                <c:pt idx="4">
                  <c:v>47.0964</c:v>
                </c:pt>
                <c:pt idx="5">
                  <c:v>43.3745</c:v>
                </c:pt>
                <c:pt idx="6">
                  <c:v>37.9977</c:v>
                </c:pt>
                <c:pt idx="7">
                  <c:v>34.2796</c:v>
                </c:pt>
                <c:pt idx="8">
                  <c:v>26.8386</c:v>
                </c:pt>
                <c:pt idx="9">
                  <c:v>24.8647</c:v>
                </c:pt>
                <c:pt idx="10">
                  <c:v>21.8868</c:v>
                </c:pt>
                <c:pt idx="11">
                  <c:v>14.6749</c:v>
                </c:pt>
                <c:pt idx="12">
                  <c:v>13.3098</c:v>
                </c:pt>
                <c:pt idx="13">
                  <c:v>9.2532</c:v>
                </c:pt>
                <c:pt idx="14">
                  <c:v>8.5302</c:v>
                </c:pt>
                <c:pt idx="15">
                  <c:v>7.9125</c:v>
                </c:pt>
                <c:pt idx="16">
                  <c:v>4.1566</c:v>
                </c:pt>
                <c:pt idx="17">
                  <c:v>3.5277</c:v>
                </c:pt>
                <c:pt idx="18">
                  <c:v>2.9418</c:v>
                </c:pt>
                <c:pt idx="19">
                  <c:v>2.0703</c:v>
                </c:pt>
                <c:pt idx="20">
                  <c:v>1.7233</c:v>
                </c:pt>
                <c:pt idx="21">
                  <c:v>1.5842</c:v>
                </c:pt>
                <c:pt idx="22">
                  <c:v>0.9572</c:v>
                </c:pt>
                <c:pt idx="23">
                  <c:v>0.8921</c:v>
                </c:pt>
                <c:pt idx="24">
                  <c:v>0.8763</c:v>
                </c:pt>
                <c:pt idx="25">
                  <c:v>0.6406</c:v>
                </c:pt>
                <c:pt idx="26">
                  <c:v>0.5824</c:v>
                </c:pt>
                <c:pt idx="27">
                  <c:v>0.3774</c:v>
                </c:pt>
                <c:pt idx="28">
                  <c:v>0.214</c:v>
                </c:pt>
                <c:pt idx="29">
                  <c:v>0.0334</c:v>
                </c:pt>
              </c:numCache>
            </c:numRef>
          </c:val>
        </c:ser>
        <c:ser>
          <c:idx val="1"/>
          <c:order val="1"/>
          <c:tx>
            <c:strRef>
              <c:f>[工作簿2.xlsx]Sheet2!$G$1</c:f>
              <c:strCache>
                <c:ptCount val="1"/>
                <c:pt idx="0">
                  <c:v>软件研发人员数（万人）</c:v>
                </c:pt>
              </c:strCache>
            </c:strRef>
          </c:tx>
          <c:spPr>
            <a:solidFill>
              <a:schemeClr val="accent2"/>
            </a:solidFill>
            <a:ln>
              <a:noFill/>
            </a:ln>
            <a:effectLst/>
          </c:spPr>
          <c:invertIfNegative val="0"/>
          <c:dLbls>
            <c:delete val="1"/>
          </c:dLbls>
          <c:cat>
            <c:strRef>
              <c:f>[工作簿2.xlsx]Sheet2!$E$2:$E$31</c:f>
              <c:strCache>
                <c:ptCount val="30"/>
                <c:pt idx="0">
                  <c:v>北京</c:v>
                </c:pt>
                <c:pt idx="1">
                  <c:v>广东</c:v>
                </c:pt>
                <c:pt idx="2">
                  <c:v>江苏</c:v>
                </c:pt>
                <c:pt idx="3">
                  <c:v>山东</c:v>
                </c:pt>
                <c:pt idx="4">
                  <c:v>上海</c:v>
                </c:pt>
                <c:pt idx="5">
                  <c:v>浙江</c:v>
                </c:pt>
                <c:pt idx="6">
                  <c:v>湖北</c:v>
                </c:pt>
                <c:pt idx="7">
                  <c:v>四川</c:v>
                </c:pt>
                <c:pt idx="8">
                  <c:v>辽宁</c:v>
                </c:pt>
                <c:pt idx="9">
                  <c:v>福建</c:v>
                </c:pt>
                <c:pt idx="10">
                  <c:v>重庆</c:v>
                </c:pt>
                <c:pt idx="11">
                  <c:v>陕西</c:v>
                </c:pt>
                <c:pt idx="12">
                  <c:v>湖南</c:v>
                </c:pt>
                <c:pt idx="13">
                  <c:v>安徽</c:v>
                </c:pt>
                <c:pt idx="14">
                  <c:v>河南</c:v>
                </c:pt>
                <c:pt idx="15">
                  <c:v>天津</c:v>
                </c:pt>
                <c:pt idx="16">
                  <c:v>河北</c:v>
                </c:pt>
                <c:pt idx="17">
                  <c:v>吉林</c:v>
                </c:pt>
                <c:pt idx="18">
                  <c:v>贵州</c:v>
                </c:pt>
                <c:pt idx="19">
                  <c:v>广西</c:v>
                </c:pt>
                <c:pt idx="20">
                  <c:v>江西</c:v>
                </c:pt>
                <c:pt idx="21">
                  <c:v>云南</c:v>
                </c:pt>
                <c:pt idx="22">
                  <c:v>山西</c:v>
                </c:pt>
                <c:pt idx="23">
                  <c:v>黑龙江</c:v>
                </c:pt>
                <c:pt idx="24">
                  <c:v>新疆</c:v>
                </c:pt>
                <c:pt idx="25">
                  <c:v>甘肃</c:v>
                </c:pt>
                <c:pt idx="26">
                  <c:v>海南</c:v>
                </c:pt>
                <c:pt idx="27">
                  <c:v>宁夏</c:v>
                </c:pt>
                <c:pt idx="28">
                  <c:v>内蒙古</c:v>
                </c:pt>
                <c:pt idx="29">
                  <c:v>青海</c:v>
                </c:pt>
              </c:strCache>
            </c:strRef>
          </c:cat>
          <c:val>
            <c:numRef>
              <c:f>[工作簿2.xlsx]Sheet2!$G$2:$G$31</c:f>
              <c:numCache>
                <c:formatCode>0.00_ </c:formatCode>
                <c:ptCount val="30"/>
                <c:pt idx="0">
                  <c:v>50.9703</c:v>
                </c:pt>
                <c:pt idx="1">
                  <c:v>55.7169</c:v>
                </c:pt>
                <c:pt idx="2">
                  <c:v>27.9938</c:v>
                </c:pt>
                <c:pt idx="3">
                  <c:v>30.4659</c:v>
                </c:pt>
                <c:pt idx="4">
                  <c:v>18.6178</c:v>
                </c:pt>
                <c:pt idx="5">
                  <c:v>16.8197</c:v>
                </c:pt>
                <c:pt idx="6">
                  <c:v>14.3439</c:v>
                </c:pt>
                <c:pt idx="7">
                  <c:v>11.3921</c:v>
                </c:pt>
                <c:pt idx="8">
                  <c:v>8.881</c:v>
                </c:pt>
                <c:pt idx="9">
                  <c:v>9.3728</c:v>
                </c:pt>
                <c:pt idx="10">
                  <c:v>9.5016</c:v>
                </c:pt>
                <c:pt idx="11">
                  <c:v>9.546</c:v>
                </c:pt>
                <c:pt idx="12">
                  <c:v>4.0451</c:v>
                </c:pt>
                <c:pt idx="13">
                  <c:v>3.6327</c:v>
                </c:pt>
                <c:pt idx="14">
                  <c:v>1.8693</c:v>
                </c:pt>
                <c:pt idx="15">
                  <c:v>1.9794</c:v>
                </c:pt>
                <c:pt idx="16">
                  <c:v>0.9749</c:v>
                </c:pt>
                <c:pt idx="17">
                  <c:v>1.106</c:v>
                </c:pt>
                <c:pt idx="18">
                  <c:v>0.5073</c:v>
                </c:pt>
                <c:pt idx="19">
                  <c:v>0.387</c:v>
                </c:pt>
                <c:pt idx="20">
                  <c:v>0.5334</c:v>
                </c:pt>
                <c:pt idx="21">
                  <c:v>0.7893</c:v>
                </c:pt>
                <c:pt idx="22">
                  <c:v>0.3528</c:v>
                </c:pt>
                <c:pt idx="23">
                  <c:v>0.396</c:v>
                </c:pt>
                <c:pt idx="24">
                  <c:v>0.1717</c:v>
                </c:pt>
                <c:pt idx="25">
                  <c:v>0.1828</c:v>
                </c:pt>
                <c:pt idx="26">
                  <c:v>0.2772</c:v>
                </c:pt>
                <c:pt idx="27">
                  <c:v>0.1037</c:v>
                </c:pt>
                <c:pt idx="28">
                  <c:v>0.0689</c:v>
                </c:pt>
                <c:pt idx="29">
                  <c:v>0.0101</c:v>
                </c:pt>
              </c:numCache>
            </c:numRef>
          </c:val>
        </c:ser>
        <c:dLbls>
          <c:showLegendKey val="0"/>
          <c:showVal val="0"/>
          <c:showCatName val="0"/>
          <c:showSerName val="0"/>
          <c:showPercent val="0"/>
          <c:showBubbleSize val="0"/>
        </c:dLbls>
        <c:gapWidth val="219"/>
        <c:overlap val="-27"/>
        <c:axId val="1545755887"/>
        <c:axId val="1545751087"/>
      </c:barChart>
      <c:catAx>
        <c:axId val="1545755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45751087"/>
        <c:crosses val="autoZero"/>
        <c:auto val="1"/>
        <c:lblAlgn val="ctr"/>
        <c:lblOffset val="100"/>
        <c:noMultiLvlLbl val="0"/>
      </c:catAx>
      <c:valAx>
        <c:axId val="1545751087"/>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45755887"/>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ed18151-92bf-45d7-9ca9-b80d24f5df9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elete val="1"/>
          </c:dLbls>
          <c:cat>
            <c:strRef>
              <c:f>[工作簿2.xlsx]Sheet3!$D$14:$D$26</c:f>
              <c:strCache>
                <c:ptCount val="13"/>
                <c:pt idx="0">
                  <c:v>北京</c:v>
                </c:pt>
                <c:pt idx="1">
                  <c:v>广东</c:v>
                </c:pt>
                <c:pt idx="2">
                  <c:v>浙江</c:v>
                </c:pt>
                <c:pt idx="3">
                  <c:v>上海</c:v>
                </c:pt>
                <c:pt idx="4">
                  <c:v>江苏</c:v>
                </c:pt>
                <c:pt idx="5">
                  <c:v>山东</c:v>
                </c:pt>
                <c:pt idx="6">
                  <c:v>重庆</c:v>
                </c:pt>
                <c:pt idx="7">
                  <c:v>福建</c:v>
                </c:pt>
                <c:pt idx="8">
                  <c:v>湖北</c:v>
                </c:pt>
                <c:pt idx="9">
                  <c:v>辽宁</c:v>
                </c:pt>
                <c:pt idx="10">
                  <c:v>安徽</c:v>
                </c:pt>
                <c:pt idx="11">
                  <c:v>湖南</c:v>
                </c:pt>
                <c:pt idx="12">
                  <c:v>天津</c:v>
                </c:pt>
              </c:strCache>
            </c:strRef>
          </c:cat>
          <c:val>
            <c:numRef>
              <c:f>[工作簿2.xlsx]Sheet3!$E$14:$E$26</c:f>
              <c:numCache>
                <c:formatCode>0.00_ </c:formatCode>
                <c:ptCount val="13"/>
                <c:pt idx="0">
                  <c:v>2662.7815</c:v>
                </c:pt>
                <c:pt idx="1">
                  <c:v>2294.6783</c:v>
                </c:pt>
                <c:pt idx="2">
                  <c:v>1152.9183</c:v>
                </c:pt>
                <c:pt idx="3">
                  <c:v>852.5065</c:v>
                </c:pt>
                <c:pt idx="4">
                  <c:v>677.1939</c:v>
                </c:pt>
                <c:pt idx="5">
                  <c:v>543.7512</c:v>
                </c:pt>
                <c:pt idx="6">
                  <c:v>295.3378</c:v>
                </c:pt>
                <c:pt idx="7">
                  <c:v>249.0501</c:v>
                </c:pt>
                <c:pt idx="8">
                  <c:v>222.9599</c:v>
                </c:pt>
                <c:pt idx="9">
                  <c:v>147.5018</c:v>
                </c:pt>
                <c:pt idx="10">
                  <c:v>107.9003</c:v>
                </c:pt>
                <c:pt idx="11">
                  <c:v>86.5994</c:v>
                </c:pt>
                <c:pt idx="12">
                  <c:v>82.3194</c:v>
                </c:pt>
              </c:numCache>
            </c:numRef>
          </c:val>
        </c:ser>
        <c:dLbls>
          <c:showLegendKey val="0"/>
          <c:showVal val="0"/>
          <c:showCatName val="0"/>
          <c:showSerName val="0"/>
          <c:showPercent val="0"/>
          <c:showBubbleSize val="0"/>
        </c:dLbls>
        <c:gapWidth val="219"/>
        <c:overlap val="-27"/>
        <c:axId val="1649728143"/>
        <c:axId val="1649733903"/>
      </c:barChart>
      <c:catAx>
        <c:axId val="1649728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9733903"/>
        <c:crosses val="autoZero"/>
        <c:auto val="1"/>
        <c:lblAlgn val="ctr"/>
        <c:lblOffset val="100"/>
        <c:noMultiLvlLbl val="0"/>
      </c:catAx>
      <c:valAx>
        <c:axId val="1649733903"/>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9728143"/>
        <c:crosses val="autoZero"/>
        <c:crossBetween val="between"/>
      </c:valAx>
      <c:spPr>
        <a:noFill/>
        <a:ln>
          <a:noFill/>
        </a:ln>
        <a:effectLst/>
      </c:spPr>
    </c:plotArea>
    <c:plotVisOnly val="1"/>
    <c:dispBlanksAs val="gap"/>
    <c:showDLblsOverMax val="0"/>
    <c:extLst>
      <c:ext uri="{0b15fc19-7d7d-44ad-8c2d-2c3a37ce22c3}">
        <chartProps xmlns="https://web.wps.cn/et/2018/main" chartId="{85872d12-fe68-4068-866a-da45cc35c36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398</Words>
  <Characters>421</Characters>
  <Lines>177</Lines>
  <Paragraphs>50</Paragraphs>
  <TotalTime>22</TotalTime>
  <ScaleCrop>false</ScaleCrop>
  <LinksUpToDate>false</LinksUpToDate>
  <CharactersWithSpaces>509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2023-04-17T15:12:00Z</dcterms:created>
  <dc:creator>qu ran</dc:creator>
  <cp:lastModifiedBy>Hrx</cp:lastModifiedBy>
  <cp:lastPrinted>2023-07-11T08:50:00Z</cp:lastPrinted>
  <dcterms:modified xsi:type="dcterms:W3CDTF">2025-09-28T01:19:10Z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eyJoZGlkIjoiODViY2JkMjU3NGYzZTEwMzZmMGFkZWViYmNkYWU3NDIifQ==</vt:lpwstr>
  </property>
  <property fmtid="{D5CDD505-2E9C-101B-9397-08002B2CF9AE}" pid="3" name="KSOProductBuildVer">
    <vt:lpwstr>2052-12.1.0.18608</vt:lpwstr>
  </property>
  <property fmtid="{D5CDD505-2E9C-101B-9397-08002B2CF9AE}" pid="4" name="ICV">
    <vt:lpwstr>13691F3C10C14AA69802BCD74CA12AA1_13</vt:lpwstr>
  </property>
</Properties>
</file>