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5AE3E">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atLeast"/>
        <w:ind w:leftChars="200"/>
        <w:jc w:val="center"/>
        <w:textAlignment w:val="auto"/>
        <w:rPr>
          <w:rFonts w:hint="eastAsia" w:ascii="Times New Roman" w:hAnsi="Times New Roman"/>
          <w:b w:val="0"/>
          <w:bCs w:val="0"/>
          <w:color w:val="000000"/>
          <w:sz w:val="32"/>
          <w:szCs w:val="32"/>
          <w:highlight w:val="none"/>
          <w:lang w:val="en-US" w:eastAsia="zh-CN"/>
        </w:rPr>
      </w:pPr>
      <w:r>
        <w:rPr>
          <w:rFonts w:hint="eastAsia" w:ascii="Times New Roman" w:hAnsi="Times New Roman"/>
          <w:b w:val="0"/>
          <w:bCs w:val="0"/>
          <w:color w:val="000000"/>
          <w:sz w:val="32"/>
          <w:szCs w:val="32"/>
          <w:highlight w:val="none"/>
          <w:lang w:val="en-US" w:eastAsia="zh-CN"/>
        </w:rPr>
        <w:t>黄山市气象灾害预警与响应条例（征求意见稿）</w:t>
      </w:r>
    </w:p>
    <w:p w14:paraId="0C05D4CD">
      <w:pPr>
        <w:pageBreakBefore w:val="0"/>
        <w:widowControl w:val="0"/>
        <w:kinsoku/>
        <w:wordWrap/>
        <w:overflowPunct/>
        <w:topLinePunct w:val="0"/>
        <w:autoSpaceDE/>
        <w:autoSpaceDN/>
        <w:bidi w:val="0"/>
        <w:snapToGrid w:val="0"/>
        <w:spacing w:line="560" w:lineRule="atLeast"/>
        <w:textAlignment w:val="auto"/>
        <w:rPr>
          <w:rFonts w:hint="eastAsia" w:ascii="Times New Roman" w:hAnsi="Times New Roman"/>
          <w:b w:val="0"/>
          <w:bCs w:val="0"/>
          <w:color w:val="000000"/>
          <w:sz w:val="32"/>
          <w:szCs w:val="32"/>
          <w:highlight w:val="none"/>
          <w:lang w:val="en-US" w:eastAsia="zh-CN"/>
        </w:rPr>
      </w:pPr>
      <w:r>
        <w:rPr>
          <w:rFonts w:hint="eastAsia" w:ascii="Times New Roman" w:hAnsi="Times New Roman"/>
          <w:b w:val="0"/>
          <w:bCs w:val="0"/>
          <w:color w:val="000000"/>
          <w:sz w:val="32"/>
          <w:szCs w:val="32"/>
          <w:highlight w:val="none"/>
          <w:lang w:val="en-US" w:eastAsia="zh-CN"/>
        </w:rPr>
        <w:t>目录</w:t>
      </w:r>
    </w:p>
    <w:p w14:paraId="5B7DB62A">
      <w:pPr>
        <w:pageBreakBefore w:val="0"/>
        <w:widowControl w:val="0"/>
        <w:numPr>
          <w:ilvl w:val="0"/>
          <w:numId w:val="1"/>
        </w:numPr>
        <w:kinsoku/>
        <w:wordWrap/>
        <w:overflowPunct/>
        <w:topLinePunct w:val="0"/>
        <w:autoSpaceDE/>
        <w:autoSpaceDN/>
        <w:bidi w:val="0"/>
        <w:snapToGrid w:val="0"/>
        <w:spacing w:line="560" w:lineRule="atLeas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总则</w:t>
      </w:r>
    </w:p>
    <w:p w14:paraId="67D7EBA2">
      <w:pPr>
        <w:pageBreakBefore w:val="0"/>
        <w:widowControl w:val="0"/>
        <w:numPr>
          <w:ilvl w:val="0"/>
          <w:numId w:val="1"/>
        </w:numPr>
        <w:kinsoku/>
        <w:wordWrap/>
        <w:overflowPunct/>
        <w:topLinePunct w:val="0"/>
        <w:autoSpaceDE/>
        <w:autoSpaceDN/>
        <w:bidi w:val="0"/>
        <w:snapToGrid w:val="0"/>
        <w:spacing w:line="560" w:lineRule="atLeas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预警措施</w:t>
      </w:r>
    </w:p>
    <w:p w14:paraId="151DF8A5">
      <w:pPr>
        <w:pageBreakBefore w:val="0"/>
        <w:widowControl w:val="0"/>
        <w:numPr>
          <w:ilvl w:val="0"/>
          <w:numId w:val="1"/>
        </w:numPr>
        <w:kinsoku/>
        <w:wordWrap/>
        <w:overflowPunct/>
        <w:topLinePunct w:val="0"/>
        <w:autoSpaceDE/>
        <w:autoSpaceDN/>
        <w:bidi w:val="0"/>
        <w:snapToGrid w:val="0"/>
        <w:spacing w:line="560" w:lineRule="atLeas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响应措施</w:t>
      </w:r>
    </w:p>
    <w:p w14:paraId="353AB003">
      <w:pPr>
        <w:pageBreakBefore w:val="0"/>
        <w:widowControl w:val="0"/>
        <w:numPr>
          <w:ilvl w:val="0"/>
          <w:numId w:val="1"/>
        </w:numPr>
        <w:kinsoku/>
        <w:wordWrap/>
        <w:overflowPunct/>
        <w:topLinePunct w:val="0"/>
        <w:autoSpaceDE/>
        <w:autoSpaceDN/>
        <w:bidi w:val="0"/>
        <w:snapToGrid w:val="0"/>
        <w:spacing w:line="560" w:lineRule="atLeas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区域协作</w:t>
      </w:r>
    </w:p>
    <w:p w14:paraId="230E484B">
      <w:pPr>
        <w:pageBreakBefore w:val="0"/>
        <w:widowControl w:val="0"/>
        <w:numPr>
          <w:ilvl w:val="0"/>
          <w:numId w:val="1"/>
        </w:numPr>
        <w:kinsoku/>
        <w:wordWrap/>
        <w:overflowPunct/>
        <w:topLinePunct w:val="0"/>
        <w:autoSpaceDE/>
        <w:autoSpaceDN/>
        <w:bidi w:val="0"/>
        <w:snapToGrid w:val="0"/>
        <w:spacing w:line="560" w:lineRule="atLeas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保障措施</w:t>
      </w:r>
    </w:p>
    <w:p w14:paraId="105E6A25">
      <w:pPr>
        <w:pageBreakBefore w:val="0"/>
        <w:widowControl w:val="0"/>
        <w:numPr>
          <w:ilvl w:val="0"/>
          <w:numId w:val="1"/>
        </w:numPr>
        <w:kinsoku/>
        <w:wordWrap/>
        <w:overflowPunct/>
        <w:topLinePunct w:val="0"/>
        <w:autoSpaceDE/>
        <w:autoSpaceDN/>
        <w:bidi w:val="0"/>
        <w:snapToGrid w:val="0"/>
        <w:spacing w:line="560" w:lineRule="atLeas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法律责任</w:t>
      </w:r>
    </w:p>
    <w:p w14:paraId="2C806BCE">
      <w:pPr>
        <w:pageBreakBefore w:val="0"/>
        <w:widowControl w:val="0"/>
        <w:numPr>
          <w:ilvl w:val="0"/>
          <w:numId w:val="1"/>
        </w:numPr>
        <w:kinsoku/>
        <w:wordWrap/>
        <w:overflowPunct/>
        <w:topLinePunct w:val="0"/>
        <w:autoSpaceDE/>
        <w:autoSpaceDN/>
        <w:bidi w:val="0"/>
        <w:snapToGrid w:val="0"/>
        <w:spacing w:line="560" w:lineRule="atLeast"/>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附则</w:t>
      </w:r>
    </w:p>
    <w:p w14:paraId="70856518">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atLeast"/>
        <w:ind w:leftChars="200"/>
        <w:jc w:val="center"/>
        <w:textAlignment w:val="auto"/>
        <w:rPr>
          <w:rFonts w:hint="default" w:ascii="Times New Roman" w:hAnsi="Times New Roman"/>
          <w:b w:val="0"/>
          <w:bCs w:val="0"/>
          <w:color w:val="000000"/>
          <w:sz w:val="32"/>
          <w:szCs w:val="32"/>
          <w:highlight w:val="none"/>
          <w:lang w:eastAsia="zh-CN"/>
        </w:rPr>
      </w:pPr>
      <w:r>
        <w:rPr>
          <w:rFonts w:hint="eastAsia" w:ascii="Times New Roman" w:hAnsi="Times New Roman"/>
          <w:b w:val="0"/>
          <w:bCs w:val="0"/>
          <w:color w:val="000000"/>
          <w:sz w:val="32"/>
          <w:szCs w:val="32"/>
          <w:highlight w:val="none"/>
          <w:lang w:val="en-US" w:eastAsia="zh-CN"/>
        </w:rPr>
        <w:t>第一章</w:t>
      </w:r>
      <w:r>
        <w:rPr>
          <w:rFonts w:hint="default" w:ascii="Times New Roman" w:hAnsi="Times New Roman"/>
          <w:b w:val="0"/>
          <w:bCs w:val="0"/>
          <w:color w:val="000000"/>
          <w:sz w:val="32"/>
          <w:szCs w:val="32"/>
          <w:highlight w:val="none"/>
          <w:lang w:eastAsia="zh-CN"/>
        </w:rPr>
        <w:t>总则</w:t>
      </w:r>
    </w:p>
    <w:p w14:paraId="504C9E4C">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atLeas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第一条【目的与依据】</w:t>
      </w:r>
      <w:r>
        <w:rPr>
          <w:rFonts w:hint="eastAsia" w:ascii="Times New Roman" w:hAnsi="Times New Roman" w:eastAsia="仿宋_GB2312" w:cs="Times New Roman"/>
          <w:b w:val="0"/>
          <w:bCs w:val="0"/>
          <w:color w:val="000000"/>
          <w:kern w:val="2"/>
          <w:sz w:val="32"/>
          <w:szCs w:val="32"/>
          <w:highlight w:val="none"/>
          <w:lang w:val="en-US" w:eastAsia="zh-CN" w:bidi="ar-SA"/>
        </w:rPr>
        <w:t>为了规范气象灾害预警与响应活动，避免、减轻气象灾害造成的损失，保障经济社会发展和人民生命财产安全，根据《中华人民共和国气象法》《中华人民共和国突发事件应对法》《气象灾害防御条例》和其他有关法律法规，结合本市实际，制定本条例。</w:t>
      </w:r>
    </w:p>
    <w:p w14:paraId="11D865B7">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第二条【适用范围】</w:t>
      </w:r>
      <w:r>
        <w:rPr>
          <w:rFonts w:hint="eastAsia" w:ascii="Times New Roman" w:hAnsi="Times New Roman" w:eastAsia="仿宋_GB2312" w:cs="Times New Roman"/>
          <w:b w:val="0"/>
          <w:bCs w:val="0"/>
          <w:color w:val="000000"/>
          <w:kern w:val="2"/>
          <w:sz w:val="32"/>
          <w:szCs w:val="32"/>
          <w:highlight w:val="none"/>
          <w:lang w:val="en-US" w:eastAsia="zh-CN" w:bidi="ar-SA"/>
        </w:rPr>
        <w:t>本条例适用于本市行政区域内气象灾害的预警与响应及其相关管理活动。</w:t>
      </w:r>
    </w:p>
    <w:p w14:paraId="56385512">
      <w:pPr>
        <w:pageBreakBefore w:val="0"/>
        <w:widowControl w:val="0"/>
        <w:kinsoku/>
        <w:wordWrap/>
        <w:overflowPunct/>
        <w:topLinePunct w:val="0"/>
        <w:autoSpaceDE/>
        <w:autoSpaceDN/>
        <w:bidi w:val="0"/>
        <w:snapToGrid w:val="0"/>
        <w:spacing w:line="560" w:lineRule="atLeast"/>
        <w:ind w:firstLine="640" w:firstLineChars="200"/>
        <w:textAlignment w:val="auto"/>
        <w:rPr>
          <w:rFonts w:hint="default" w:ascii="Times New Roman" w:hAnsi="Times New Roman" w:eastAsia="仿宋_GB2312" w:cs="Times New Roman"/>
          <w:b w:val="0"/>
          <w:bCs w:val="0"/>
          <w:color w:val="000000"/>
          <w:kern w:val="2"/>
          <w:sz w:val="32"/>
          <w:szCs w:val="32"/>
          <w:highlight w:val="yellow"/>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本条例所称气象灾害，是指气象因素引发的自然灾害，包括台风、暴雨、暴雪、寒潮、大风、高温、大雾、霾、低温冰冻和强对流等所造成的灾害。</w:t>
      </w:r>
    </w:p>
    <w:p w14:paraId="5C81B9F3">
      <w:pPr>
        <w:keepNext w:val="0"/>
        <w:keepLines w:val="0"/>
        <w:pageBreakBefore w:val="0"/>
        <w:widowControl w:val="0"/>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第三条【基本原则】</w:t>
      </w:r>
      <w:r>
        <w:rPr>
          <w:rFonts w:hint="eastAsia" w:ascii="Times New Roman" w:hAnsi="Times New Roman" w:eastAsia="仿宋_GB2312" w:cs="Times New Roman"/>
          <w:b w:val="0"/>
          <w:bCs w:val="0"/>
          <w:color w:val="000000"/>
          <w:kern w:val="2"/>
          <w:sz w:val="32"/>
          <w:szCs w:val="32"/>
          <w:highlight w:val="none"/>
          <w:lang w:val="en-US" w:eastAsia="zh-CN" w:bidi="ar-SA"/>
        </w:rPr>
        <w:t>气象灾害预警与响应工作应当坚持以人为本、科学防御、政府主导、部门联动、区域协作、社会参与的原则。</w:t>
      </w:r>
    </w:p>
    <w:p w14:paraId="7E07D0A6">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第四条【市、县</w:t>
      </w:r>
      <w:r>
        <w:rPr>
          <w:rFonts w:hint="eastAsia" w:ascii="Times New Roman" w:hAnsi="Times New Roman" w:cs="Times New Roman"/>
          <w:b w:val="0"/>
          <w:bCs w:val="0"/>
          <w:color w:val="000000"/>
          <w:kern w:val="2"/>
          <w:sz w:val="32"/>
          <w:szCs w:val="32"/>
          <w:highlight w:val="none"/>
          <w:lang w:val="en-US" w:eastAsia="zh-CN" w:bidi="ar-SA"/>
        </w:rPr>
        <w:t>(区）</w:t>
      </w:r>
      <w:r>
        <w:rPr>
          <w:rFonts w:hint="eastAsia" w:ascii="Times New Roman" w:hAnsi="Times New Roman" w:eastAsia="黑体" w:cs="Times New Roman"/>
          <w:b w:val="0"/>
          <w:bCs w:val="0"/>
          <w:color w:val="000000"/>
          <w:kern w:val="2"/>
          <w:sz w:val="32"/>
          <w:szCs w:val="32"/>
          <w:highlight w:val="none"/>
          <w:lang w:val="en-US" w:eastAsia="zh-CN" w:bidi="ar-SA"/>
        </w:rPr>
        <w:t>和部门职责】</w:t>
      </w:r>
      <w:r>
        <w:rPr>
          <w:rFonts w:hint="eastAsia" w:ascii="Times New Roman" w:hAnsi="Times New Roman" w:eastAsia="仿宋_GB2312" w:cs="Times New Roman"/>
          <w:b w:val="0"/>
          <w:bCs w:val="0"/>
          <w:color w:val="000000"/>
          <w:kern w:val="2"/>
          <w:sz w:val="32"/>
          <w:szCs w:val="32"/>
          <w:highlight w:val="none"/>
          <w:lang w:val="en-US" w:eastAsia="zh-CN" w:bidi="ar-SA"/>
        </w:rPr>
        <w:t>市、县（区）人民政府应当加强对气象灾害预警与响应工作的组织、领导和协调，建立健全气象灾害预警和响应机制，所需经费列入本级财政预算。</w:t>
      </w:r>
    </w:p>
    <w:p w14:paraId="3E7D5212">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气象主管机构负责本行政区域内灾害性天气的监测、预报和预警等工作。未设气象主管机构的区，由市气象主管机构负责前述工作。</w:t>
      </w:r>
    </w:p>
    <w:p w14:paraId="44BA0F56">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应急管理、发展和改革、教育、工业和信息化、公安、民政、财政、自然资源和规划、住房和城乡建设、交通运输、水利、农业农村、文化和旅游、体育、卫生健康、林业等综合行政执法部门和供水、供电、通信、新闻媒体等单位，应当按照各自职责做好气象灾害预警与响应工作。</w:t>
      </w:r>
    </w:p>
    <w:p w14:paraId="44A9AC80">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第五条【镇街和村居职责】</w:t>
      </w:r>
      <w:r>
        <w:rPr>
          <w:rFonts w:hint="eastAsia" w:ascii="Times New Roman" w:hAnsi="Times New Roman" w:eastAsia="仿宋_GB2312" w:cs="Times New Roman"/>
          <w:b w:val="0"/>
          <w:bCs w:val="0"/>
          <w:color w:val="000000"/>
          <w:kern w:val="2"/>
          <w:sz w:val="32"/>
          <w:szCs w:val="32"/>
          <w:highlight w:val="none"/>
          <w:lang w:val="en-US" w:eastAsia="zh-CN" w:bidi="ar-SA"/>
        </w:rPr>
        <w:t>乡镇人民政府、街道办事处应当依托网格员协助有关部门及时向本辖区公众传播灾害性天气预报、气象灾害预警信息。</w:t>
      </w:r>
    </w:p>
    <w:p w14:paraId="2763BD61">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村（居）民委员会应当协助当地人民政府及有关部门做好气象灾害预警与响应工作。</w:t>
      </w:r>
    </w:p>
    <w:p w14:paraId="7A0F4166">
      <w:pPr>
        <w:pStyle w:val="3"/>
        <w:pageBreakBefore w:val="0"/>
        <w:widowControl w:val="0"/>
        <w:numPr>
          <w:ilvl w:val="0"/>
          <w:numId w:val="0"/>
        </w:numPr>
        <w:kinsoku/>
        <w:wordWrap/>
        <w:overflowPunct/>
        <w:topLinePunct w:val="0"/>
        <w:autoSpaceDE/>
        <w:autoSpaceDN/>
        <w:bidi w:val="0"/>
        <w:snapToGrid w:val="0"/>
        <w:spacing w:line="560" w:lineRule="atLeast"/>
        <w:jc w:val="center"/>
        <w:textAlignment w:val="auto"/>
        <w:rPr>
          <w:rFonts w:hint="eastAsia"/>
          <w:sz w:val="32"/>
          <w:szCs w:val="32"/>
          <w:lang w:val="en-US" w:eastAsia="zh-CN"/>
        </w:rPr>
      </w:pPr>
      <w:r>
        <w:rPr>
          <w:rFonts w:hint="eastAsia"/>
          <w:sz w:val="32"/>
          <w:szCs w:val="32"/>
          <w:lang w:val="en-US" w:eastAsia="zh-CN"/>
        </w:rPr>
        <w:t>第二章预警措施</w:t>
      </w:r>
    </w:p>
    <w:p w14:paraId="59159992">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560" w:lineRule="atLeast"/>
        <w:ind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第六条【预警信息分类】</w:t>
      </w:r>
      <w:r>
        <w:rPr>
          <w:rFonts w:hint="eastAsia" w:ascii="Times New Roman" w:hAnsi="Times New Roman" w:eastAsia="仿宋_GB2312" w:cs="Times New Roman"/>
          <w:b w:val="0"/>
          <w:bCs w:val="0"/>
          <w:color w:val="000000"/>
          <w:kern w:val="2"/>
          <w:sz w:val="32"/>
          <w:szCs w:val="32"/>
          <w:highlight w:val="none"/>
          <w:lang w:val="en-US" w:eastAsia="zh-CN" w:bidi="ar-SA"/>
        </w:rPr>
        <w:t>气象灾害预警信息，包括气象灾害警报和气象灾害预警信号。</w:t>
      </w:r>
    </w:p>
    <w:p w14:paraId="4281A75D">
      <w:pPr>
        <w:pageBreakBefore w:val="0"/>
        <w:widowControl w:val="0"/>
        <w:kinsoku/>
        <w:wordWrap/>
        <w:overflowPunct/>
        <w:topLinePunct w:val="0"/>
        <w:autoSpaceDE/>
        <w:autoSpaceDN/>
        <w:bidi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根据气象灾害发生的紧急程度、发展势态和可能造成的危害程度，台风、暴雨、暴雪警报分为一级、二级、三级和四级，一级为最高级别；大风、低温冰冻、高温、寒潮和大雾警报分为二级、三级、四级。台风、暴雨、暴雪、寒潮、大风预警信号从高级到低级依次用红色、橙色、黄色和蓝色标识；高温、大雾、强对流预警信号包括红色、橙色和黄色；霾预警信号只有橙色和黄色；低温冰冻预警信号有黄色、蓝色。</w:t>
      </w:r>
    </w:p>
    <w:p w14:paraId="2DC41503">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第七条【预警信息发布】</w:t>
      </w:r>
      <w:r>
        <w:rPr>
          <w:rFonts w:hint="eastAsia" w:ascii="Times New Roman" w:hAnsi="Times New Roman" w:eastAsia="仿宋_GB2312" w:cs="Times New Roman"/>
          <w:b w:val="0"/>
          <w:bCs w:val="0"/>
          <w:color w:val="000000"/>
          <w:kern w:val="2"/>
          <w:sz w:val="32"/>
          <w:szCs w:val="32"/>
          <w:highlight w:val="none"/>
          <w:lang w:val="en-US" w:eastAsia="zh-CN" w:bidi="ar-SA"/>
        </w:rPr>
        <w:t>气象灾害预警信息由气象主管机构所属气象台站统一向社会公众发布，其他任何组织和个人不得向社会公众发布气象灾害预警信息。</w:t>
      </w:r>
    </w:p>
    <w:p w14:paraId="6B7E4C9F">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气象主管机构所属的气象台站应当根据天气变化情况，及时发布、更新、解除气象灾害预警信息，同时向本级人民政府报告，向有关灾害防御、救助部门和单位报告</w:t>
      </w:r>
      <w:r>
        <w:rPr>
          <w:rFonts w:hint="eastAsia" w:ascii="Times New Roman" w:hAnsi="Times New Roman" w:eastAsia="仿宋_GB2312" w:cs="Times New Roman"/>
          <w:b w:val="0"/>
          <w:bCs w:val="0"/>
          <w:color w:val="000000"/>
          <w:kern w:val="2"/>
          <w:sz w:val="32"/>
          <w:szCs w:val="32"/>
          <w:highlight w:val="none"/>
          <w:lang w:val="en-US" w:eastAsia="zh-CN" w:bidi="ar-SA"/>
        </w:rPr>
        <w:t>。</w:t>
      </w:r>
    </w:p>
    <w:p w14:paraId="7088C1A8">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第八条【预警信息传播】</w:t>
      </w:r>
      <w:r>
        <w:rPr>
          <w:rFonts w:hint="eastAsia" w:ascii="Times New Roman" w:hAnsi="Times New Roman" w:eastAsia="仿宋_GB2312" w:cs="Times New Roman"/>
          <w:b w:val="0"/>
          <w:bCs w:val="0"/>
          <w:color w:val="000000"/>
          <w:kern w:val="2"/>
          <w:sz w:val="32"/>
          <w:szCs w:val="32"/>
          <w:highlight w:val="none"/>
          <w:lang w:val="en-US" w:eastAsia="zh-CN" w:bidi="ar-SA"/>
        </w:rPr>
        <w:t>乡镇人民政府、街道办事处、村（居）民委员会，机场、港口、车站、景区、学校、医院等公共场所以及其他人员密集场所的经营、管理单位，广播、电视、报纸等媒体及其新媒体平台，接收到气象灾害预警信息后，应当按照规定及时传播。</w:t>
      </w:r>
    </w:p>
    <w:p w14:paraId="3A9D0ED6">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通信运营单位应当及时安排优先通道，向受影响区域内的手机用户发送预警信息。</w:t>
      </w:r>
    </w:p>
    <w:p w14:paraId="0723D3DF">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第九条【预警叫应】</w:t>
      </w:r>
      <w:r>
        <w:rPr>
          <w:rFonts w:hint="eastAsia" w:ascii="Times New Roman" w:hAnsi="Times New Roman" w:eastAsia="仿宋_GB2312" w:cs="Times New Roman"/>
          <w:b w:val="0"/>
          <w:bCs w:val="0"/>
          <w:color w:val="000000"/>
          <w:kern w:val="2"/>
          <w:sz w:val="32"/>
          <w:szCs w:val="32"/>
          <w:highlight w:val="none"/>
          <w:lang w:val="en-US" w:eastAsia="zh-CN" w:bidi="ar-SA"/>
        </w:rPr>
        <w:t>市、县（区）人民政府应当建立健全气象灾害预警叫应工作机制，明确预警叫应的预警类型、叫应主体、叫应对象、叫应流程和叫应渠道。</w:t>
      </w:r>
    </w:p>
    <w:p w14:paraId="7CBB25AD">
      <w:pPr>
        <w:pStyle w:val="3"/>
        <w:pageBreakBefore w:val="0"/>
        <w:widowControl w:val="0"/>
        <w:numPr>
          <w:ilvl w:val="0"/>
          <w:numId w:val="0"/>
        </w:numPr>
        <w:kinsoku/>
        <w:wordWrap/>
        <w:overflowPunct/>
        <w:topLinePunct w:val="0"/>
        <w:autoSpaceDE/>
        <w:autoSpaceDN/>
        <w:bidi w:val="0"/>
        <w:snapToGrid w:val="0"/>
        <w:spacing w:line="560" w:lineRule="atLeast"/>
        <w:jc w:val="center"/>
        <w:textAlignment w:val="auto"/>
        <w:rPr>
          <w:rFonts w:hint="default"/>
          <w:sz w:val="32"/>
          <w:szCs w:val="32"/>
          <w:lang w:val="en-US" w:eastAsia="zh-CN"/>
        </w:rPr>
      </w:pPr>
      <w:r>
        <w:rPr>
          <w:rFonts w:hint="eastAsia"/>
          <w:sz w:val="32"/>
          <w:szCs w:val="32"/>
          <w:lang w:val="en-US" w:eastAsia="zh-CN"/>
        </w:rPr>
        <w:t>第三章响应措施</w:t>
      </w:r>
    </w:p>
    <w:p w14:paraId="19A22D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第十条【以预警为令与舆情引导】</w:t>
      </w:r>
      <w:r>
        <w:rPr>
          <w:rFonts w:hint="eastAsia" w:ascii="Times New Roman" w:hAnsi="Times New Roman" w:eastAsia="仿宋_GB2312" w:cs="Times New Roman"/>
          <w:b w:val="0"/>
          <w:bCs w:val="0"/>
          <w:color w:val="000000"/>
          <w:kern w:val="2"/>
          <w:sz w:val="32"/>
          <w:szCs w:val="32"/>
          <w:highlight w:val="none"/>
          <w:lang w:val="en-US" w:eastAsia="zh-CN" w:bidi="ar-SA"/>
        </w:rPr>
        <w:t>市、县（区）人民政府和有关部门应当根据气象灾害预警信息以及相关应急预案启动标准，适时启动相应等级的响应措施。</w:t>
      </w:r>
    </w:p>
    <w:p w14:paraId="0D701B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市、县（市、区）人民政府应当组织有关部门和单位依据规定及时发布气象灾害防御和应急处置相关信息，做好舆情引导，及时回应社会关切。</w:t>
      </w:r>
    </w:p>
    <w:p w14:paraId="4554DE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第十一条【低等级预警信息响应】</w:t>
      </w:r>
      <w:r>
        <w:rPr>
          <w:rFonts w:hint="eastAsia" w:ascii="Times New Roman" w:hAnsi="Times New Roman" w:eastAsia="仿宋_GB2312" w:cs="Times New Roman"/>
          <w:b w:val="0"/>
          <w:bCs w:val="0"/>
          <w:color w:val="000000"/>
          <w:kern w:val="2"/>
          <w:sz w:val="32"/>
          <w:szCs w:val="32"/>
          <w:highlight w:val="none"/>
          <w:lang w:val="en-US" w:eastAsia="zh-CN" w:bidi="ar-SA"/>
        </w:rPr>
        <w:t>气象主管机构所属气象台站发布三级及以下气象灾害警报，或者黄色及以下气象灾害预警信号后，市、县（区）人民政府应当组织有关灾害防御、救助部门开展联合会商，并适时组织开展隐患排查。（部门自定）</w:t>
      </w:r>
    </w:p>
    <w:p w14:paraId="663A5C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气象主管机构所属气象台站应当加强对灾害性天气发生、发展情况的监测、预报和预警。</w:t>
      </w:r>
    </w:p>
    <w:p w14:paraId="657E07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第十二条【高等级预警信息政府响应】</w:t>
      </w:r>
      <w:r>
        <w:rPr>
          <w:rFonts w:hint="eastAsia" w:ascii="Times New Roman" w:hAnsi="Times New Roman" w:eastAsia="仿宋_GB2312" w:cs="Times New Roman"/>
          <w:b w:val="0"/>
          <w:bCs w:val="0"/>
          <w:color w:val="000000"/>
          <w:kern w:val="2"/>
          <w:sz w:val="32"/>
          <w:szCs w:val="32"/>
          <w:highlight w:val="none"/>
          <w:lang w:val="en-US" w:eastAsia="zh-CN" w:bidi="ar-SA"/>
        </w:rPr>
        <w:t>气象主管机构所属气象台站发布二级及以上气象灾害警报，或者橙色及以上气象灾害预警信号后，市、县（区）人民政府应当结合实际情况，部署和开展下列工作：</w:t>
      </w:r>
    </w:p>
    <w:p w14:paraId="605EBE8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（一）向受气象灾害影响重点区域派出工作组、专家组或者技术人员，指导灾害应对工作；</w:t>
      </w:r>
    </w:p>
    <w:p w14:paraId="56C959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（二）指令应急救援队伍、负有特定职责的人员进入待命状态，并动员后备人员做好参加应急救援和处置工作的准备；</w:t>
      </w:r>
    </w:p>
    <w:p w14:paraId="0BC706F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（三）调集应急处置所需物资、设备、工具，受灾害影响地区做好应急设施和避难场所的使用准备，确保其处于良好状态、随时可以投入正常使用；</w:t>
      </w:r>
    </w:p>
    <w:p w14:paraId="4BCEEE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（四）做好食品、饮用水、衣被、帐篷等救灾物资调用的准备，保障转移人员的基本生活；</w:t>
      </w:r>
    </w:p>
    <w:p w14:paraId="27F58B5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（五）采取必要措施，确保交通、通信、供水、排水、供电、供气、供热等公共设施的安全和正常运行；</w:t>
      </w:r>
    </w:p>
    <w:p w14:paraId="377A0DE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（六）及时向社会发布关于采取特定措施避免或者减轻危害的建议、劝告；</w:t>
      </w:r>
    </w:p>
    <w:p w14:paraId="134A5C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（七）加强对重点单位、重要部位和重要基础设施的安全防护，维护社会治安秩序；</w:t>
      </w:r>
    </w:p>
    <w:p w14:paraId="1C655C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（八）及时将预警信息通知危险区域人员，视情况组织人员转移；</w:t>
      </w:r>
    </w:p>
    <w:p w14:paraId="390420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（九）加强相关信息报道的管理，及时向社会发布与公众有关的灾害信息；</w:t>
      </w:r>
    </w:p>
    <w:p w14:paraId="13268A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（十）向上级政府和毗邻地区请求支援；</w:t>
      </w:r>
    </w:p>
    <w:p w14:paraId="0C2C6C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（十一）法律法规规定的其他工作。</w:t>
      </w:r>
    </w:p>
    <w:p w14:paraId="6A77F5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第十三条【部门响应】</w:t>
      </w:r>
      <w:r>
        <w:rPr>
          <w:rFonts w:hint="eastAsia" w:ascii="Times New Roman" w:hAnsi="Times New Roman" w:eastAsia="仿宋_GB2312" w:cs="Times New Roman"/>
          <w:b w:val="0"/>
          <w:bCs w:val="0"/>
          <w:color w:val="000000"/>
          <w:kern w:val="2"/>
          <w:sz w:val="32"/>
          <w:szCs w:val="32"/>
          <w:highlight w:val="none"/>
          <w:lang w:val="en-US" w:eastAsia="zh-CN" w:bidi="ar-SA"/>
        </w:rPr>
        <w:t>气象主管机构所属气象台站发布气象灾害预警信息后，市、县（区）人民政府有关部门应当按照上级部署和本级安全生产（防灾减灾救灾）委员会</w:t>
      </w:r>
      <w:r>
        <w:rPr>
          <w:rFonts w:hint="eastAsia" w:ascii="Times New Roman" w:hAnsi="Times New Roman" w:eastAsia="仿宋_GB2312" w:cs="Times New Roman"/>
          <w:b w:val="0"/>
          <w:bCs w:val="0"/>
          <w:color w:val="000000"/>
          <w:kern w:val="2"/>
          <w:sz w:val="32"/>
          <w:szCs w:val="32"/>
          <w:highlight w:val="none"/>
          <w:lang w:val="en-US" w:eastAsia="zh-CN" w:bidi="ar-SA"/>
        </w:rPr>
        <w:t>确定的职责分工做好气象灾害防御工作。</w:t>
      </w:r>
    </w:p>
    <w:p w14:paraId="349C19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第十四条【社会响应】</w:t>
      </w:r>
      <w:r>
        <w:rPr>
          <w:rFonts w:hint="eastAsia" w:ascii="Times New Roman" w:hAnsi="Times New Roman" w:eastAsia="仿宋_GB2312" w:cs="Times New Roman"/>
          <w:b w:val="0"/>
          <w:bCs w:val="0"/>
          <w:color w:val="000000"/>
          <w:kern w:val="2"/>
          <w:sz w:val="32"/>
          <w:szCs w:val="32"/>
          <w:highlight w:val="none"/>
          <w:lang w:val="en-US" w:eastAsia="zh-CN" w:bidi="ar-SA"/>
        </w:rPr>
        <w:t>有关单位接收到台风、暴雨、大风、强对流橙色及以上预警信号</w:t>
      </w:r>
      <w:r>
        <w:rPr>
          <w:rFonts w:hint="eastAsia" w:ascii="Times New Roman" w:hAnsi="Times New Roman" w:eastAsia="仿宋_GB2312" w:cs="Times New Roman"/>
          <w:b w:val="0"/>
          <w:bCs w:val="0"/>
          <w:color w:val="000000"/>
          <w:kern w:val="2"/>
          <w:sz w:val="32"/>
          <w:szCs w:val="32"/>
          <w:highlight w:val="none"/>
          <w:lang w:val="en-US" w:eastAsia="zh-CN" w:bidi="ar-SA"/>
        </w:rPr>
        <w:t>时，应当结合自身情况，采取相应的应对措施：</w:t>
      </w:r>
    </w:p>
    <w:p w14:paraId="4E96C2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firstLine="64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（一）人员密集场所及劳动密集型企业必要时采取停工停课停业等相应的安全措施，并为滞留人员提供临时安全避险场所；</w:t>
      </w:r>
    </w:p>
    <w:p w14:paraId="3CA0084B">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（二）在建工程施工单位应当对施工设施设备和工作生活临时设施等采取加固措施，必要时停止高空和户外作业；地下工程施工要严密监视地质变化和施工支护体系变化；</w:t>
      </w:r>
    </w:p>
    <w:p w14:paraId="7D7F8190">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（三）易燃易爆类单位应当采取停止户外作业、切断危险电源等防御措施；</w:t>
      </w:r>
    </w:p>
    <w:p w14:paraId="03B6A880">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（四）旅游景区、重点文物保护等单位应当及时向游客发出警示信息，适时采取停止营业、关闭相关区域、组织人员避险等措施；</w:t>
      </w:r>
    </w:p>
    <w:p w14:paraId="0055F83D">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（五）在水域从事捕捞、运输、开采等生产经营活动的单位应当及时命令船舶和相关人员采取停止作业、回港避险等措施。</w:t>
      </w:r>
    </w:p>
    <w:p w14:paraId="5019F665">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第十五条【“五停”】</w:t>
      </w:r>
      <w:r>
        <w:rPr>
          <w:rFonts w:hint="eastAsia" w:ascii="Times New Roman" w:hAnsi="Times New Roman" w:eastAsia="仿宋_GB2312" w:cs="Times New Roman"/>
          <w:b w:val="0"/>
          <w:bCs w:val="0"/>
          <w:color w:val="000000"/>
          <w:kern w:val="2"/>
          <w:sz w:val="32"/>
          <w:szCs w:val="32"/>
          <w:highlight w:val="none"/>
          <w:lang w:val="en-US" w:eastAsia="zh-CN" w:bidi="ar-SA"/>
        </w:rPr>
        <w:t>在台风、暴雨红色预警信号生效期，市、县（市、区）人民政府和有关部门应当依照有关规定采取停课、停工、停产、停业、停运等措施。情况紧急时，当地人民政府、基层群众自治组织和企业、学校等，应当及时动员并组织受到灾害威胁的人员转移、疏散。</w:t>
      </w:r>
    </w:p>
    <w:p w14:paraId="16E03306">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第十六条【镇街与村（居）响应】</w:t>
      </w:r>
      <w:r>
        <w:rPr>
          <w:rFonts w:hint="eastAsia" w:ascii="Times New Roman" w:hAnsi="Times New Roman" w:eastAsia="仿宋_GB2312" w:cs="Times New Roman"/>
          <w:b w:val="0"/>
          <w:bCs w:val="0"/>
          <w:color w:val="000000"/>
          <w:kern w:val="2"/>
          <w:sz w:val="32"/>
          <w:szCs w:val="32"/>
          <w:highlight w:val="none"/>
          <w:lang w:val="en-US" w:eastAsia="zh-CN" w:bidi="ar-SA"/>
        </w:rPr>
        <w:t>乡镇人民政府、街道办事处</w:t>
      </w:r>
      <w:r>
        <w:rPr>
          <w:rFonts w:hint="default" w:ascii="Times New Roman" w:hAnsi="Times New Roman" w:eastAsia="仿宋_GB2312" w:cs="Times New Roman"/>
          <w:b w:val="0"/>
          <w:bCs w:val="0"/>
          <w:color w:val="000000"/>
          <w:kern w:val="2"/>
          <w:sz w:val="32"/>
          <w:szCs w:val="32"/>
          <w:highlight w:val="none"/>
          <w:lang w:val="en-US" w:eastAsia="zh-CN" w:bidi="ar-SA"/>
        </w:rPr>
        <w:t>接</w:t>
      </w:r>
      <w:r>
        <w:rPr>
          <w:rFonts w:hint="eastAsia" w:ascii="Times New Roman" w:hAnsi="Times New Roman" w:eastAsia="仿宋_GB2312" w:cs="Times New Roman"/>
          <w:b w:val="0"/>
          <w:bCs w:val="0"/>
          <w:color w:val="000000"/>
          <w:kern w:val="2"/>
          <w:sz w:val="32"/>
          <w:szCs w:val="32"/>
          <w:highlight w:val="none"/>
          <w:lang w:val="en-US" w:eastAsia="zh-CN" w:bidi="ar-SA"/>
        </w:rPr>
        <w:t>收</w:t>
      </w:r>
      <w:r>
        <w:rPr>
          <w:rFonts w:hint="default" w:ascii="Times New Roman" w:hAnsi="Times New Roman" w:eastAsia="仿宋_GB2312" w:cs="Times New Roman"/>
          <w:b w:val="0"/>
          <w:bCs w:val="0"/>
          <w:color w:val="000000"/>
          <w:kern w:val="2"/>
          <w:sz w:val="32"/>
          <w:szCs w:val="32"/>
          <w:highlight w:val="none"/>
          <w:lang w:val="en-US" w:eastAsia="zh-CN" w:bidi="ar-SA"/>
        </w:rPr>
        <w:t>到</w:t>
      </w:r>
      <w:r>
        <w:rPr>
          <w:rFonts w:hint="eastAsia" w:ascii="Times New Roman" w:hAnsi="Times New Roman" w:eastAsia="仿宋_GB2312" w:cs="Times New Roman"/>
          <w:b w:val="0"/>
          <w:bCs w:val="0"/>
          <w:color w:val="000000"/>
          <w:kern w:val="2"/>
          <w:sz w:val="32"/>
          <w:szCs w:val="32"/>
          <w:highlight w:val="none"/>
          <w:lang w:val="en-US" w:eastAsia="zh-CN" w:bidi="ar-SA"/>
        </w:rPr>
        <w:t>气象灾害预警信息后，应当及时开展风险隐患排查，并做好人员转移安置、抢险救灾、灾情险情报告等工作。</w:t>
      </w:r>
    </w:p>
    <w:p w14:paraId="2E963DC0">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村（居）民委员会应当按照规定，协助</w:t>
      </w:r>
      <w:r>
        <w:rPr>
          <w:rFonts w:hint="eastAsia" w:ascii="Times New Roman" w:hAnsi="Times New Roman" w:eastAsia="仿宋_GB2312" w:cs="Times New Roman"/>
          <w:b w:val="0"/>
          <w:bCs w:val="0"/>
          <w:color w:val="000000"/>
          <w:kern w:val="2"/>
          <w:sz w:val="32"/>
          <w:szCs w:val="32"/>
          <w:highlight w:val="none"/>
          <w:lang w:val="en-US" w:eastAsia="zh-CN" w:bidi="ar-SA"/>
        </w:rPr>
        <w:t>做好物资准备、到岗值守和人员转移准备等工作，配合</w:t>
      </w:r>
      <w:r>
        <w:rPr>
          <w:rFonts w:hint="eastAsia" w:ascii="Times New Roman" w:hAnsi="Times New Roman" w:eastAsia="仿宋_GB2312" w:cs="Times New Roman"/>
          <w:b w:val="0"/>
          <w:bCs w:val="0"/>
          <w:color w:val="000000"/>
          <w:kern w:val="2"/>
          <w:sz w:val="32"/>
          <w:szCs w:val="32"/>
          <w:highlight w:val="none"/>
          <w:lang w:val="en-US" w:eastAsia="zh-CN" w:bidi="ar-SA"/>
        </w:rPr>
        <w:t>网格责任人开展巡查检查、预警信息传播等工作。</w:t>
      </w:r>
    </w:p>
    <w:p w14:paraId="4E24603D">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第十七条【社会公众响应】</w:t>
      </w:r>
      <w:r>
        <w:rPr>
          <w:rFonts w:hint="eastAsia" w:ascii="Times New Roman" w:hAnsi="Times New Roman" w:eastAsia="仿宋_GB2312" w:cs="Times New Roman"/>
          <w:b w:val="0"/>
          <w:bCs w:val="0"/>
          <w:color w:val="000000"/>
          <w:kern w:val="2"/>
          <w:sz w:val="32"/>
          <w:szCs w:val="32"/>
          <w:highlight w:val="none"/>
          <w:lang w:val="en-US" w:eastAsia="zh-CN" w:bidi="ar-SA"/>
        </w:rPr>
        <w:t>气象灾害预警信息生效期间，公民、法人和其他组织应当主动了解气象灾害预警信息和防御指南，合理安排出行，积极开展防灾避险和自救互救，服从人民政府和有关部门的转移、安置安排。</w:t>
      </w:r>
    </w:p>
    <w:p w14:paraId="62F9D954">
      <w:pPr>
        <w:pageBreakBefore w:val="0"/>
        <w:widowControl w:val="0"/>
        <w:kinsoku/>
        <w:wordWrap/>
        <w:overflowPunct/>
        <w:topLinePunct w:val="0"/>
        <w:autoSpaceDE/>
        <w:autoSpaceDN/>
        <w:bidi w:val="0"/>
        <w:snapToGrid w:val="0"/>
        <w:spacing w:line="560" w:lineRule="atLeast"/>
        <w:ind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第十八条【灾后评估】</w:t>
      </w:r>
      <w:r>
        <w:rPr>
          <w:rFonts w:hint="eastAsia" w:ascii="Times New Roman" w:hAnsi="Times New Roman" w:eastAsia="仿宋_GB2312" w:cs="Times New Roman"/>
          <w:b w:val="0"/>
          <w:bCs w:val="0"/>
          <w:color w:val="000000"/>
          <w:kern w:val="2"/>
          <w:sz w:val="32"/>
          <w:szCs w:val="32"/>
          <w:highlight w:val="none"/>
          <w:lang w:val="en-US" w:eastAsia="zh-CN" w:bidi="ar-SA"/>
        </w:rPr>
        <w:t>市、</w:t>
      </w:r>
      <w:r>
        <w:rPr>
          <w:rFonts w:hint="default" w:ascii="Times New Roman" w:hAnsi="Times New Roman" w:eastAsia="仿宋_GB2312" w:cs="Times New Roman"/>
          <w:b w:val="0"/>
          <w:bCs w:val="0"/>
          <w:color w:val="000000"/>
          <w:kern w:val="2"/>
          <w:sz w:val="32"/>
          <w:szCs w:val="32"/>
          <w:highlight w:val="none"/>
          <w:lang w:val="en-US" w:eastAsia="zh-CN" w:bidi="ar-SA"/>
        </w:rPr>
        <w:t>县（区）人民政府</w:t>
      </w:r>
      <w:r>
        <w:rPr>
          <w:rFonts w:hint="default" w:ascii="Times New Roman" w:hAnsi="Times New Roman" w:eastAsia="仿宋_GB2312" w:cs="Times New Roman"/>
          <w:color w:val="000000"/>
          <w:kern w:val="2"/>
          <w:sz w:val="32"/>
          <w:szCs w:val="32"/>
          <w:highlight w:val="none"/>
          <w:lang w:val="en-US" w:eastAsia="zh-CN" w:bidi="ar-SA"/>
        </w:rPr>
        <w:t>应当建立气象灾害防御闭环机制，根据气象灾害强度和影响程度，及时组织相关部门和专家开展气象灾害防御复盘评估工作，完善预案和风险识别、监测预警、应急处置工作。</w:t>
      </w:r>
    </w:p>
    <w:p w14:paraId="00320685">
      <w:pPr>
        <w:pStyle w:val="3"/>
        <w:pageBreakBefore w:val="0"/>
        <w:widowControl w:val="0"/>
        <w:kinsoku/>
        <w:wordWrap/>
        <w:overflowPunct/>
        <w:topLinePunct w:val="0"/>
        <w:autoSpaceDE/>
        <w:autoSpaceDN/>
        <w:bidi w:val="0"/>
        <w:snapToGrid w:val="0"/>
        <w:spacing w:line="560" w:lineRule="atLeast"/>
        <w:jc w:val="center"/>
        <w:textAlignment w:val="auto"/>
        <w:rPr>
          <w:rFonts w:hint="eastAsia"/>
          <w:b w:val="0"/>
          <w:bCs w:val="0"/>
          <w:lang w:val="en-US" w:eastAsia="zh-CN"/>
        </w:rPr>
      </w:pPr>
      <w:bookmarkStart w:id="0" w:name="_Toc4611"/>
      <w:r>
        <w:rPr>
          <w:rFonts w:hint="eastAsia"/>
          <w:b w:val="0"/>
          <w:bCs w:val="0"/>
          <w:lang w:val="en-US" w:eastAsia="zh-CN"/>
        </w:rPr>
        <w:t>第四章区域协作</w:t>
      </w:r>
      <w:bookmarkEnd w:id="0"/>
    </w:p>
    <w:p w14:paraId="09178C5D">
      <w:pPr>
        <w:pStyle w:val="3"/>
        <w:keepNext/>
        <w:keepLines/>
        <w:pageBreakBefore w:val="0"/>
        <w:widowControl w:val="0"/>
        <w:kinsoku/>
        <w:wordWrap/>
        <w:overflowPunct/>
        <w:topLinePunct w:val="0"/>
        <w:autoSpaceDE/>
        <w:autoSpaceDN/>
        <w:bidi w:val="0"/>
        <w:adjustRightInd w:val="0"/>
        <w:snapToGrid w:val="0"/>
        <w:spacing w:before="0" w:after="0" w:line="560" w:lineRule="atLeast"/>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ascii="Times New Roman" w:hAnsi="Times New Roman" w:cs="Times New Roman"/>
          <w:b w:val="0"/>
          <w:bCs w:val="0"/>
          <w:color w:val="000000"/>
          <w:kern w:val="2"/>
          <w:sz w:val="32"/>
          <w:szCs w:val="32"/>
          <w:highlight w:val="none"/>
          <w:lang w:val="en-US" w:eastAsia="zh-CN" w:bidi="ar-SA"/>
        </w:rPr>
        <w:t>十九</w:t>
      </w:r>
      <w:r>
        <w:rPr>
          <w:rFonts w:hint="eastAsia" w:ascii="Times New Roman" w:hAnsi="Times New Roman" w:eastAsia="黑体" w:cs="Times New Roman"/>
          <w:b w:val="0"/>
          <w:bCs w:val="0"/>
          <w:color w:val="000000"/>
          <w:kern w:val="2"/>
          <w:sz w:val="32"/>
          <w:szCs w:val="32"/>
          <w:highlight w:val="none"/>
          <w:lang w:val="en-US" w:eastAsia="zh-CN" w:bidi="ar-SA"/>
        </w:rPr>
        <w:t>条【市</w:t>
      </w:r>
      <w:r>
        <w:rPr>
          <w:rFonts w:hint="eastAsia" w:ascii="Times New Roman" w:hAnsi="Times New Roman" w:cs="Times New Roman"/>
          <w:b w:val="0"/>
          <w:bCs w:val="0"/>
          <w:color w:val="000000"/>
          <w:kern w:val="2"/>
          <w:sz w:val="32"/>
          <w:szCs w:val="32"/>
          <w:highlight w:val="none"/>
          <w:lang w:val="en-US" w:eastAsia="zh-CN" w:bidi="ar-SA"/>
        </w:rPr>
        <w:t>级</w:t>
      </w:r>
      <w:r>
        <w:rPr>
          <w:rFonts w:hint="eastAsia" w:ascii="Times New Roman" w:hAnsi="Times New Roman" w:eastAsia="黑体" w:cs="Times New Roman"/>
          <w:b w:val="0"/>
          <w:bCs w:val="0"/>
          <w:color w:val="000000"/>
          <w:kern w:val="2"/>
          <w:sz w:val="32"/>
          <w:szCs w:val="32"/>
          <w:highlight w:val="none"/>
          <w:lang w:val="en-US" w:eastAsia="zh-CN" w:bidi="ar-SA"/>
        </w:rPr>
        <w:t>政府协作】</w:t>
      </w:r>
      <w:r>
        <w:rPr>
          <w:rFonts w:hint="eastAsia" w:ascii="Times New Roman" w:hAnsi="Times New Roman" w:eastAsia="仿宋_GB2312" w:cs="Times New Roman"/>
          <w:b w:val="0"/>
          <w:bCs w:val="0"/>
          <w:color w:val="000000"/>
          <w:kern w:val="2"/>
          <w:sz w:val="32"/>
          <w:szCs w:val="32"/>
          <w:highlight w:val="none"/>
          <w:lang w:val="en-US" w:eastAsia="zh-CN" w:bidi="ar-SA"/>
        </w:rPr>
        <w:t>市人民政府应当会同浙江省衢州市、福建省南平市、江西省上饶市人民政府按照优势互补、资源共享、平等互利、合作共赢原则，建立气象灾害跨区域协同防御机制，加强联合会商研判，并做好联合调度等响应措施的相互衔接，加强应急救援协作，提升四省边际地区气象灾害防御综合能力。</w:t>
      </w:r>
    </w:p>
    <w:p w14:paraId="50D676E2">
      <w:pPr>
        <w:pageBreakBefore w:val="0"/>
        <w:widowControl w:val="0"/>
        <w:kinsoku/>
        <w:wordWrap/>
        <w:overflowPunct/>
        <w:topLinePunct w:val="0"/>
        <w:autoSpaceDE/>
        <w:autoSpaceDN/>
        <w:bidi w:val="0"/>
        <w:snapToGrid w:val="0"/>
        <w:spacing w:line="560" w:lineRule="atLeast"/>
        <w:ind w:right="131"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第二十条【气象部门协作】</w:t>
      </w:r>
      <w:r>
        <w:rPr>
          <w:rFonts w:hint="eastAsia" w:ascii="Times New Roman" w:hAnsi="Times New Roman" w:eastAsia="仿宋_GB2312" w:cs="Times New Roman"/>
          <w:b w:val="0"/>
          <w:bCs w:val="0"/>
          <w:color w:val="000000"/>
          <w:kern w:val="2"/>
          <w:sz w:val="32"/>
          <w:szCs w:val="32"/>
          <w:highlight w:val="none"/>
          <w:lang w:val="en-US" w:eastAsia="zh-CN" w:bidi="ar-SA"/>
        </w:rPr>
        <w:t>市气象主管机构应当会同浙江省衢州市、福建省南平市、江西省上饶市气象主管机构制定统一的气象灾害警报和预警信号标准，做好跨区域气象灾害监测、预报、预警服务平台建设和信息共享，气象灾害风险预警产品开发与应用，以及精细化气象服务等领域的科学研究和技术攻关，推动人工智能、大数据、区块链等在跨区域气象灾害防御领域的融合应用。</w:t>
      </w:r>
    </w:p>
    <w:p w14:paraId="43E6DDFD">
      <w:pPr>
        <w:pStyle w:val="7"/>
        <w:pageBreakBefore w:val="0"/>
        <w:widowControl w:val="0"/>
        <w:kinsoku/>
        <w:wordWrap/>
        <w:overflowPunct/>
        <w:topLinePunct w:val="0"/>
        <w:autoSpaceDE/>
        <w:autoSpaceDN/>
        <w:bidi w:val="0"/>
        <w:snapToGrid w:val="0"/>
        <w:spacing w:line="560" w:lineRule="atLeast"/>
        <w:textAlignment w:val="auto"/>
        <w:rPr>
          <w:rFonts w:hint="default"/>
          <w:sz w:val="32"/>
          <w:szCs w:val="32"/>
          <w:highlight w:val="none"/>
        </w:rPr>
      </w:pPr>
      <w:r>
        <w:rPr>
          <w:rFonts w:hint="default"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w:t>
      </w:r>
      <w:r>
        <w:rPr>
          <w:rFonts w:hint="eastAsia" w:ascii="Times New Roman" w:hAnsi="Times New Roman" w:eastAsia="黑体" w:cs="Times New Roman"/>
          <w:b w:val="0"/>
          <w:bCs w:val="0"/>
          <w:color w:val="000000"/>
          <w:kern w:val="2"/>
          <w:sz w:val="32"/>
          <w:szCs w:val="32"/>
          <w:highlight w:val="none"/>
          <w:lang w:val="en-US" w:eastAsia="zh-CN" w:bidi="ar-SA"/>
        </w:rPr>
        <w:t>十</w:t>
      </w:r>
      <w:r>
        <w:rPr>
          <w:rFonts w:hint="eastAsia" w:eastAsia="黑体" w:cs="Times New Roman"/>
          <w:b w:val="0"/>
          <w:bCs w:val="0"/>
          <w:color w:val="000000"/>
          <w:kern w:val="2"/>
          <w:sz w:val="32"/>
          <w:szCs w:val="32"/>
          <w:highlight w:val="none"/>
          <w:lang w:val="en-US" w:eastAsia="zh-CN" w:bidi="ar-SA"/>
        </w:rPr>
        <w:t>一</w:t>
      </w:r>
      <w:r>
        <w:rPr>
          <w:rFonts w:hint="default" w:ascii="Times New Roman" w:hAnsi="Times New Roman" w:eastAsia="黑体" w:cs="Times New Roman"/>
          <w:b w:val="0"/>
          <w:bCs w:val="0"/>
          <w:color w:val="000000"/>
          <w:kern w:val="2"/>
          <w:sz w:val="32"/>
          <w:szCs w:val="32"/>
          <w:highlight w:val="none"/>
          <w:lang w:val="en-US" w:eastAsia="zh-CN" w:bidi="ar-SA"/>
        </w:rPr>
        <w:t>条【应急</w:t>
      </w:r>
      <w:r>
        <w:rPr>
          <w:rFonts w:hint="eastAsia" w:eastAsia="黑体" w:cs="Times New Roman"/>
          <w:b w:val="0"/>
          <w:bCs w:val="0"/>
          <w:color w:val="000000"/>
          <w:kern w:val="2"/>
          <w:sz w:val="32"/>
          <w:szCs w:val="32"/>
          <w:highlight w:val="none"/>
          <w:lang w:val="en-US" w:eastAsia="zh-CN" w:bidi="ar-SA"/>
        </w:rPr>
        <w:t>部门</w:t>
      </w:r>
      <w:r>
        <w:rPr>
          <w:rFonts w:hint="default" w:ascii="Times New Roman" w:hAnsi="Times New Roman" w:eastAsia="黑体" w:cs="Times New Roman"/>
          <w:b w:val="0"/>
          <w:bCs w:val="0"/>
          <w:color w:val="000000"/>
          <w:kern w:val="2"/>
          <w:sz w:val="32"/>
          <w:szCs w:val="32"/>
          <w:highlight w:val="none"/>
          <w:lang w:val="en-US" w:eastAsia="zh-CN" w:bidi="ar-SA"/>
        </w:rPr>
        <w:t>协</w:t>
      </w:r>
      <w:r>
        <w:rPr>
          <w:rFonts w:hint="eastAsia" w:ascii="Times New Roman" w:hAnsi="Times New Roman" w:eastAsia="黑体" w:cs="Times New Roman"/>
          <w:b w:val="0"/>
          <w:bCs w:val="0"/>
          <w:color w:val="000000"/>
          <w:kern w:val="2"/>
          <w:sz w:val="32"/>
          <w:szCs w:val="32"/>
          <w:highlight w:val="none"/>
          <w:lang w:val="en-US" w:eastAsia="zh-CN" w:bidi="ar-SA"/>
        </w:rPr>
        <w:t>作</w:t>
      </w:r>
      <w:r>
        <w:rPr>
          <w:rFonts w:hint="default" w:ascii="Times New Roman" w:hAnsi="Times New Roman" w:eastAsia="黑体" w:cs="Times New Roman"/>
          <w:b w:val="0"/>
          <w:bCs w:val="0"/>
          <w:color w:val="000000"/>
          <w:kern w:val="2"/>
          <w:sz w:val="32"/>
          <w:szCs w:val="32"/>
          <w:highlight w:val="none"/>
          <w:lang w:val="en-US" w:eastAsia="zh-CN" w:bidi="ar-SA"/>
        </w:rPr>
        <w:t>】</w:t>
      </w:r>
      <w:r>
        <w:rPr>
          <w:rFonts w:hint="default"/>
          <w:sz w:val="32"/>
          <w:szCs w:val="32"/>
          <w:highlight w:val="none"/>
          <w:lang w:val="en-US" w:eastAsia="zh-CN"/>
        </w:rPr>
        <w:t>市</w:t>
      </w:r>
      <w:r>
        <w:rPr>
          <w:rFonts w:hint="eastAsia"/>
          <w:sz w:val="32"/>
          <w:szCs w:val="32"/>
          <w:highlight w:val="none"/>
          <w:lang w:val="en-US" w:eastAsia="zh-CN"/>
        </w:rPr>
        <w:t>应急管理</w:t>
      </w:r>
      <w:r>
        <w:rPr>
          <w:rFonts w:hint="default"/>
          <w:sz w:val="32"/>
          <w:szCs w:val="32"/>
          <w:highlight w:val="none"/>
          <w:lang w:val="en-US" w:eastAsia="zh-CN"/>
        </w:rPr>
        <w:t>部门应当会同</w:t>
      </w:r>
      <w:r>
        <w:rPr>
          <w:rFonts w:hint="eastAsia"/>
          <w:sz w:val="32"/>
          <w:szCs w:val="32"/>
          <w:highlight w:val="none"/>
          <w:lang w:val="en-US" w:eastAsia="zh-CN"/>
        </w:rPr>
        <w:t>衢州市</w:t>
      </w:r>
      <w:r>
        <w:rPr>
          <w:rFonts w:hint="default"/>
          <w:sz w:val="32"/>
          <w:szCs w:val="32"/>
          <w:highlight w:val="none"/>
          <w:lang w:val="en-US" w:eastAsia="zh-CN"/>
        </w:rPr>
        <w:t>、南平市、上饶市</w:t>
      </w:r>
      <w:r>
        <w:rPr>
          <w:rFonts w:hint="eastAsia"/>
          <w:sz w:val="32"/>
          <w:szCs w:val="32"/>
          <w:highlight w:val="none"/>
          <w:lang w:val="en-US" w:eastAsia="zh-CN"/>
        </w:rPr>
        <w:t>应急管理</w:t>
      </w:r>
      <w:r>
        <w:rPr>
          <w:rFonts w:hint="default"/>
          <w:sz w:val="32"/>
          <w:szCs w:val="32"/>
          <w:highlight w:val="none"/>
          <w:lang w:val="en-US" w:eastAsia="zh-CN"/>
        </w:rPr>
        <w:t>部门建立健全应急救援沟通机制，加强</w:t>
      </w:r>
      <w:r>
        <w:rPr>
          <w:rFonts w:hint="eastAsia"/>
          <w:sz w:val="32"/>
          <w:szCs w:val="32"/>
          <w:highlight w:val="none"/>
          <w:lang w:val="en-US" w:eastAsia="zh-CN"/>
        </w:rPr>
        <w:t>相</w:t>
      </w:r>
      <w:r>
        <w:rPr>
          <w:rFonts w:hint="default"/>
          <w:sz w:val="32"/>
          <w:szCs w:val="32"/>
          <w:highlight w:val="none"/>
          <w:lang w:val="en-US" w:eastAsia="zh-CN"/>
        </w:rPr>
        <w:t>邻县、镇、村三级的沟通与协同，及时相互通报情况，实现信息共享，推进应急物资跨区域互助协作，提高应急救援能力。</w:t>
      </w:r>
    </w:p>
    <w:p w14:paraId="1FD697B7">
      <w:pPr>
        <w:pStyle w:val="7"/>
        <w:pageBreakBefore w:val="0"/>
        <w:widowControl w:val="0"/>
        <w:kinsoku/>
        <w:wordWrap/>
        <w:overflowPunct/>
        <w:topLinePunct w:val="0"/>
        <w:autoSpaceDE/>
        <w:autoSpaceDN/>
        <w:bidi w:val="0"/>
        <w:snapToGrid w:val="0"/>
        <w:spacing w:line="560" w:lineRule="atLeast"/>
        <w:textAlignment w:val="auto"/>
        <w:rPr>
          <w:rFonts w:hint="eastAsia"/>
          <w:sz w:val="32"/>
          <w:szCs w:val="32"/>
          <w:highlight w:val="none"/>
          <w:lang w:val="en-US" w:eastAsia="zh-CN"/>
        </w:rPr>
      </w:pPr>
      <w:r>
        <w:rPr>
          <w:rFonts w:hint="eastAsia"/>
          <w:sz w:val="32"/>
          <w:szCs w:val="32"/>
          <w:highlight w:val="none"/>
          <w:lang w:val="en-US" w:eastAsia="zh-CN"/>
        </w:rPr>
        <w:t>县（区）、乡镇人民政府，街道办事处应当做好应急救援队伍、装备、物资等准备工作。在气象灾害或者其衍生、次生灾害超出当地政府处置能力时，可以向其他市政府及其有关部门提出支援请求。其他政府及其部门应当及时给予指导支持，或者直接组织处置。</w:t>
      </w:r>
    </w:p>
    <w:p w14:paraId="3774944B">
      <w:pPr>
        <w:pageBreakBefore w:val="0"/>
        <w:widowControl w:val="0"/>
        <w:numPr>
          <w:ilvl w:val="0"/>
          <w:numId w:val="0"/>
        </w:numPr>
        <w:kinsoku/>
        <w:wordWrap/>
        <w:overflowPunct/>
        <w:topLinePunct w:val="0"/>
        <w:autoSpaceDE/>
        <w:autoSpaceDN/>
        <w:bidi w:val="0"/>
        <w:snapToGrid w:val="0"/>
        <w:spacing w:line="560" w:lineRule="atLeast"/>
        <w:ind w:leftChars="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w:t>
      </w:r>
      <w:r>
        <w:rPr>
          <w:rFonts w:hint="eastAsia" w:ascii="Times New Roman" w:hAnsi="Times New Roman" w:eastAsia="黑体" w:cs="Times New Roman"/>
          <w:b w:val="0"/>
          <w:bCs w:val="0"/>
          <w:color w:val="000000"/>
          <w:kern w:val="2"/>
          <w:sz w:val="32"/>
          <w:szCs w:val="32"/>
          <w:highlight w:val="none"/>
          <w:lang w:val="en-US" w:eastAsia="zh-CN" w:bidi="ar-SA"/>
        </w:rPr>
        <w:t>十</w:t>
      </w:r>
      <w:r>
        <w:rPr>
          <w:rFonts w:hint="eastAsia" w:eastAsia="黑体" w:cs="Times New Roman"/>
          <w:b w:val="0"/>
          <w:bCs w:val="0"/>
          <w:color w:val="000000"/>
          <w:kern w:val="2"/>
          <w:sz w:val="32"/>
          <w:szCs w:val="32"/>
          <w:highlight w:val="none"/>
          <w:lang w:val="en-US" w:eastAsia="zh-CN" w:bidi="ar-SA"/>
        </w:rPr>
        <w:t>二</w:t>
      </w:r>
      <w:r>
        <w:rPr>
          <w:rFonts w:hint="eastAsia" w:ascii="Times New Roman" w:hAnsi="Times New Roman" w:eastAsia="黑体" w:cs="Times New Roman"/>
          <w:b w:val="0"/>
          <w:bCs w:val="0"/>
          <w:color w:val="000000"/>
          <w:kern w:val="2"/>
          <w:sz w:val="32"/>
          <w:szCs w:val="32"/>
          <w:highlight w:val="none"/>
          <w:lang w:val="en-US" w:eastAsia="zh-CN" w:bidi="ar-SA"/>
        </w:rPr>
        <w:t>条【县域合作】</w:t>
      </w:r>
      <w:r>
        <w:rPr>
          <w:rFonts w:hint="eastAsia" w:ascii="Times New Roman" w:hAnsi="Times New Roman" w:eastAsia="仿宋_GB2312" w:cs="Times New Roman"/>
          <w:color w:val="000000"/>
          <w:kern w:val="2"/>
          <w:sz w:val="32"/>
          <w:szCs w:val="32"/>
          <w:highlight w:val="none"/>
          <w:lang w:val="en-US" w:eastAsia="zh-CN" w:bidi="ar-SA"/>
        </w:rPr>
        <w:t>县（区）人民政府可以根据地形特征、水系分布特点，加强与毗邻县（市、区）在气象灾害预警与响应工作上的区域协作，提高气象灾害防御能力，共同做好区域联防联控。</w:t>
      </w:r>
    </w:p>
    <w:p w14:paraId="09E2FCF0">
      <w:pPr>
        <w:pageBreakBefore w:val="0"/>
        <w:widowControl w:val="0"/>
        <w:numPr>
          <w:ilvl w:val="0"/>
          <w:numId w:val="0"/>
        </w:numPr>
        <w:kinsoku/>
        <w:wordWrap/>
        <w:overflowPunct/>
        <w:topLinePunct w:val="0"/>
        <w:autoSpaceDE/>
        <w:autoSpaceDN/>
        <w:bidi w:val="0"/>
        <w:snapToGrid w:val="0"/>
        <w:spacing w:line="560" w:lineRule="atLeast"/>
        <w:ind w:leftChars="0" w:firstLine="640" w:firstLineChars="200"/>
        <w:textAlignment w:val="auto"/>
        <w:rPr>
          <w:rFonts w:hint="eastAsia" w:ascii="Times New Roman" w:hAnsi="Times New Roman" w:eastAsia="仿宋_GB2312" w:cs="Times New Roman"/>
          <w:color w:val="000000"/>
          <w:kern w:val="2"/>
          <w:sz w:val="32"/>
          <w:szCs w:val="32"/>
          <w:highlight w:val="none"/>
          <w:lang w:val="en-US" w:eastAsia="zh-CN" w:bidi="ar-SA"/>
        </w:rPr>
      </w:pPr>
      <w:bookmarkStart w:id="7" w:name="_GoBack"/>
      <w:bookmarkEnd w:id="7"/>
    </w:p>
    <w:p w14:paraId="0BA9CDD6">
      <w:pPr>
        <w:keepNext w:val="0"/>
        <w:keepLines w:val="0"/>
        <w:pageBreakBefore w:val="0"/>
        <w:widowControl w:val="0"/>
        <w:numPr>
          <w:ilvl w:val="0"/>
          <w:numId w:val="2"/>
        </w:numPr>
        <w:kinsoku/>
        <w:wordWrap/>
        <w:overflowPunct/>
        <w:topLinePunct w:val="0"/>
        <w:autoSpaceDE/>
        <w:autoSpaceDN/>
        <w:bidi w:val="0"/>
        <w:adjustRightInd/>
        <w:snapToGrid w:val="0"/>
        <w:spacing w:line="560" w:lineRule="atLeast"/>
        <w:ind w:leftChars="0" w:firstLine="0" w:firstLineChars="0"/>
        <w:jc w:val="center"/>
        <w:textAlignment w:val="auto"/>
        <w:rPr>
          <w:rFonts w:hint="default"/>
          <w:sz w:val="32"/>
          <w:szCs w:val="32"/>
          <w:highlight w:val="none"/>
          <w:lang w:val="en-US" w:eastAsia="zh-CN"/>
        </w:rPr>
      </w:pPr>
      <w:r>
        <w:rPr>
          <w:rFonts w:hint="eastAsia" w:ascii="Times New Roman" w:hAnsi="Times New Roman" w:eastAsia="黑体" w:cs="Times New Roman"/>
          <w:b w:val="0"/>
          <w:bCs w:val="0"/>
          <w:color w:val="000000"/>
          <w:kern w:val="2"/>
          <w:sz w:val="32"/>
          <w:szCs w:val="32"/>
          <w:highlight w:val="none"/>
          <w:lang w:val="en-US" w:eastAsia="zh-CN" w:bidi="ar-SA"/>
        </w:rPr>
        <w:t>保障措施</w:t>
      </w:r>
      <w:bookmarkStart w:id="1" w:name="_Toc27549"/>
    </w:p>
    <w:p w14:paraId="0BEC027A">
      <w:pPr>
        <w:keepNext w:val="0"/>
        <w:keepLines w:val="0"/>
        <w:pageBreakBefore w:val="0"/>
        <w:widowControl w:val="0"/>
        <w:numPr>
          <w:numId w:val="0"/>
        </w:numPr>
        <w:kinsoku/>
        <w:wordWrap/>
        <w:overflowPunct/>
        <w:topLinePunct w:val="0"/>
        <w:autoSpaceDE/>
        <w:autoSpaceDN/>
        <w:bidi w:val="0"/>
        <w:adjustRightInd/>
        <w:snapToGrid w:val="0"/>
        <w:spacing w:line="560" w:lineRule="atLeas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二十三</w:t>
      </w:r>
      <w:r>
        <w:rPr>
          <w:rFonts w:hint="eastAsia" w:ascii="Times New Roman" w:hAnsi="Times New Roman" w:eastAsia="黑体" w:cs="Times New Roman"/>
          <w:b w:val="0"/>
          <w:bCs w:val="0"/>
          <w:color w:val="000000"/>
          <w:kern w:val="2"/>
          <w:sz w:val="32"/>
          <w:szCs w:val="32"/>
          <w:highlight w:val="none"/>
          <w:lang w:val="en-US" w:eastAsia="zh-CN" w:bidi="ar-SA"/>
        </w:rPr>
        <w:t>条【气象探测设施建设】</w:t>
      </w:r>
      <w:r>
        <w:rPr>
          <w:rFonts w:hint="default" w:ascii="Times New Roman" w:hAnsi="Times New Roman" w:eastAsia="仿宋_GB2312" w:cs="Times New Roman"/>
          <w:b w:val="0"/>
          <w:bCs w:val="0"/>
          <w:color w:val="000000"/>
          <w:kern w:val="2"/>
          <w:sz w:val="32"/>
          <w:szCs w:val="32"/>
          <w:highlight w:val="none"/>
          <w:lang w:val="en-US" w:eastAsia="zh-CN" w:bidi="ar-SA"/>
        </w:rPr>
        <w:t>市、县（区）人民政府应当组织气象、发展</w:t>
      </w:r>
      <w:r>
        <w:rPr>
          <w:rFonts w:hint="eastAsia" w:ascii="Times New Roman" w:hAnsi="Times New Roman" w:eastAsia="仿宋_GB2312" w:cs="Times New Roman"/>
          <w:b w:val="0"/>
          <w:bCs w:val="0"/>
          <w:color w:val="000000"/>
          <w:kern w:val="2"/>
          <w:sz w:val="32"/>
          <w:szCs w:val="32"/>
          <w:highlight w:val="none"/>
          <w:lang w:val="en-US" w:eastAsia="zh-CN" w:bidi="ar-SA"/>
        </w:rPr>
        <w:t>和</w:t>
      </w:r>
      <w:r>
        <w:rPr>
          <w:rFonts w:hint="default" w:ascii="Times New Roman" w:hAnsi="Times New Roman" w:eastAsia="仿宋_GB2312" w:cs="Times New Roman"/>
          <w:b w:val="0"/>
          <w:bCs w:val="0"/>
          <w:color w:val="000000"/>
          <w:kern w:val="2"/>
          <w:sz w:val="32"/>
          <w:szCs w:val="32"/>
          <w:highlight w:val="none"/>
          <w:lang w:val="en-US" w:eastAsia="zh-CN" w:bidi="ar-SA"/>
        </w:rPr>
        <w:t>改革、自然资源</w:t>
      </w:r>
      <w:r>
        <w:rPr>
          <w:rFonts w:hint="eastAsia" w:ascii="Times New Roman" w:hAnsi="Times New Roman" w:eastAsia="仿宋_GB2312" w:cs="Times New Roman"/>
          <w:b w:val="0"/>
          <w:bCs w:val="0"/>
          <w:color w:val="000000"/>
          <w:kern w:val="2"/>
          <w:sz w:val="32"/>
          <w:szCs w:val="32"/>
          <w:highlight w:val="none"/>
          <w:lang w:val="en-US" w:eastAsia="zh-CN" w:bidi="ar-SA"/>
        </w:rPr>
        <w:t>和</w:t>
      </w:r>
      <w:r>
        <w:rPr>
          <w:rFonts w:hint="default" w:ascii="Times New Roman" w:hAnsi="Times New Roman" w:eastAsia="仿宋_GB2312" w:cs="Times New Roman"/>
          <w:b w:val="0"/>
          <w:bCs w:val="0"/>
          <w:color w:val="000000"/>
          <w:kern w:val="2"/>
          <w:sz w:val="32"/>
          <w:szCs w:val="32"/>
          <w:highlight w:val="none"/>
          <w:lang w:val="en-US" w:eastAsia="zh-CN" w:bidi="ar-SA"/>
        </w:rPr>
        <w:t>规划、</w:t>
      </w:r>
      <w:r>
        <w:rPr>
          <w:rFonts w:hint="eastAsia" w:ascii="Times New Roman" w:hAnsi="Times New Roman" w:eastAsia="仿宋_GB2312" w:cs="Times New Roman"/>
          <w:b w:val="0"/>
          <w:bCs w:val="0"/>
          <w:color w:val="000000"/>
          <w:kern w:val="2"/>
          <w:sz w:val="32"/>
          <w:szCs w:val="32"/>
          <w:highlight w:val="none"/>
          <w:lang w:val="en-US" w:eastAsia="zh-CN" w:bidi="ar-SA"/>
        </w:rPr>
        <w:t>水利、</w:t>
      </w:r>
      <w:r>
        <w:rPr>
          <w:rFonts w:hint="default" w:ascii="Times New Roman" w:hAnsi="Times New Roman" w:eastAsia="仿宋_GB2312" w:cs="Times New Roman"/>
          <w:b w:val="0"/>
          <w:bCs w:val="0"/>
          <w:color w:val="000000"/>
          <w:kern w:val="2"/>
          <w:sz w:val="32"/>
          <w:szCs w:val="32"/>
          <w:highlight w:val="none"/>
          <w:lang w:val="en-US" w:eastAsia="zh-CN" w:bidi="ar-SA"/>
        </w:rPr>
        <w:t>水文、农业农村、生态环境等部门</w:t>
      </w:r>
      <w:r>
        <w:rPr>
          <w:rFonts w:hint="eastAsia" w:ascii="Times New Roman" w:hAnsi="Times New Roman" w:eastAsia="仿宋_GB2312" w:cs="Times New Roman"/>
          <w:b w:val="0"/>
          <w:bCs w:val="0"/>
          <w:color w:val="000000"/>
          <w:kern w:val="2"/>
          <w:sz w:val="32"/>
          <w:szCs w:val="32"/>
          <w:highlight w:val="none"/>
          <w:lang w:val="en-US" w:eastAsia="zh-CN" w:bidi="ar-SA"/>
        </w:rPr>
        <w:t>推动气象行业统筹，</w:t>
      </w:r>
      <w:r>
        <w:rPr>
          <w:rFonts w:hint="default" w:ascii="Times New Roman" w:hAnsi="Times New Roman" w:eastAsia="仿宋_GB2312" w:cs="Times New Roman"/>
          <w:b w:val="0"/>
          <w:bCs w:val="0"/>
          <w:color w:val="000000"/>
          <w:kern w:val="2"/>
          <w:sz w:val="32"/>
          <w:szCs w:val="32"/>
          <w:highlight w:val="none"/>
          <w:lang w:val="en-US" w:eastAsia="zh-CN" w:bidi="ar-SA"/>
        </w:rPr>
        <w:t>开展气象探测设施普查，统筹编制气象探测设施规划，优化气象探测设施布局，加强监测信息共享。乡镇人民政府、街道办事处应当协助气象主管机构做好气象探测设施选址、迁移和维护工作。</w:t>
      </w:r>
    </w:p>
    <w:bookmarkEnd w:id="1"/>
    <w:p w14:paraId="6654354D">
      <w:pPr>
        <w:pStyle w:val="7"/>
        <w:pageBreakBefore w:val="0"/>
        <w:widowControl w:val="0"/>
        <w:kinsoku/>
        <w:wordWrap/>
        <w:overflowPunct/>
        <w:topLinePunct w:val="0"/>
        <w:autoSpaceDE/>
        <w:autoSpaceDN/>
        <w:bidi w:val="0"/>
        <w:snapToGrid w:val="0"/>
        <w:spacing w:line="560" w:lineRule="atLeast"/>
        <w:textAlignment w:val="auto"/>
        <w:rPr>
          <w:rFonts w:hint="eastAsia"/>
          <w:sz w:val="32"/>
          <w:szCs w:val="32"/>
          <w:highlight w:val="none"/>
          <w:lang w:val="en-US" w:eastAsia="zh-CN"/>
        </w:rPr>
      </w:pPr>
      <w:bookmarkStart w:id="2" w:name="_Toc31601"/>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二十四</w:t>
      </w:r>
      <w:r>
        <w:rPr>
          <w:rFonts w:hint="eastAsia" w:ascii="Times New Roman" w:hAnsi="Times New Roman" w:eastAsia="黑体" w:cs="Times New Roman"/>
          <w:b w:val="0"/>
          <w:bCs w:val="0"/>
          <w:color w:val="000000"/>
          <w:kern w:val="2"/>
          <w:sz w:val="32"/>
          <w:szCs w:val="32"/>
          <w:highlight w:val="none"/>
          <w:lang w:val="en-US" w:eastAsia="zh-CN" w:bidi="ar-SA"/>
        </w:rPr>
        <w:t>条【预警传播保障】</w:t>
      </w:r>
      <w:bookmarkEnd w:id="2"/>
      <w:r>
        <w:rPr>
          <w:rFonts w:hint="eastAsia"/>
          <w:sz w:val="32"/>
          <w:szCs w:val="32"/>
          <w:highlight w:val="none"/>
          <w:lang w:val="en-US" w:eastAsia="zh-CN"/>
        </w:rPr>
        <w:t>市、县（区）人民政府应当根据气象灾害防御需要，在人口密集区域、气象灾害易发区域以及边远农村、山区等区域加密建设气象灾害预警信息接收和播发设施，完善应急广播、铜锣、口哨、电子显示屏等传播气象灾害预警信息的设施设备。</w:t>
      </w:r>
    </w:p>
    <w:p w14:paraId="7FCEADEC">
      <w:pPr>
        <w:pStyle w:val="7"/>
        <w:pageBreakBefore w:val="0"/>
        <w:widowControl w:val="0"/>
        <w:kinsoku/>
        <w:wordWrap/>
        <w:overflowPunct/>
        <w:topLinePunct w:val="0"/>
        <w:autoSpaceDE/>
        <w:autoSpaceDN/>
        <w:bidi w:val="0"/>
        <w:snapToGrid w:val="0"/>
        <w:spacing w:line="560" w:lineRule="atLeast"/>
        <w:textAlignment w:val="auto"/>
        <w:rPr>
          <w:rFonts w:hint="eastAsia"/>
          <w:sz w:val="32"/>
          <w:szCs w:val="32"/>
          <w:highlight w:val="none"/>
          <w:lang w:val="en-US" w:eastAsia="zh-CN"/>
        </w:rPr>
      </w:pPr>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二十五</w:t>
      </w:r>
      <w:r>
        <w:rPr>
          <w:rFonts w:hint="eastAsia" w:ascii="Times New Roman" w:hAnsi="Times New Roman" w:eastAsia="黑体" w:cs="Times New Roman"/>
          <w:b w:val="0"/>
          <w:bCs w:val="0"/>
          <w:color w:val="000000"/>
          <w:kern w:val="2"/>
          <w:sz w:val="32"/>
          <w:szCs w:val="32"/>
          <w:highlight w:val="none"/>
          <w:lang w:val="en-US" w:eastAsia="zh-CN" w:bidi="ar-SA"/>
        </w:rPr>
        <w:t>条【预案及演练】</w:t>
      </w:r>
      <w:r>
        <w:rPr>
          <w:rFonts w:hint="eastAsia"/>
          <w:sz w:val="32"/>
          <w:szCs w:val="32"/>
          <w:highlight w:val="none"/>
          <w:lang w:val="en-US" w:eastAsia="zh-CN"/>
        </w:rPr>
        <w:t>各级人民政府及有关部门应当及时修订与气象灾害防御有关的应急预案，把气象灾害预警信息列为应急响应启动条件之一，并按规定开展应急演练。</w:t>
      </w:r>
    </w:p>
    <w:p w14:paraId="4974124E">
      <w:pPr>
        <w:pStyle w:val="7"/>
        <w:pageBreakBefore w:val="0"/>
        <w:widowControl w:val="0"/>
        <w:kinsoku/>
        <w:wordWrap/>
        <w:overflowPunct/>
        <w:topLinePunct w:val="0"/>
        <w:autoSpaceDE/>
        <w:autoSpaceDN/>
        <w:bidi w:val="0"/>
        <w:snapToGrid w:val="0"/>
        <w:spacing w:line="560" w:lineRule="atLeast"/>
        <w:ind w:left="0" w:leftChars="0" w:firstLine="640" w:firstLineChars="200"/>
        <w:textAlignment w:val="auto"/>
        <w:rPr>
          <w:rFonts w:hint="eastAsia"/>
          <w:sz w:val="32"/>
          <w:szCs w:val="32"/>
          <w:highlight w:val="none"/>
          <w:lang w:val="en-US" w:eastAsia="zh-CN"/>
        </w:rPr>
      </w:pPr>
      <w:bookmarkStart w:id="3" w:name="_Toc4164"/>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二十六</w:t>
      </w:r>
      <w:r>
        <w:rPr>
          <w:rFonts w:hint="eastAsia" w:ascii="Times New Roman" w:hAnsi="Times New Roman" w:eastAsia="黑体" w:cs="Times New Roman"/>
          <w:b w:val="0"/>
          <w:bCs w:val="0"/>
          <w:color w:val="000000"/>
          <w:kern w:val="2"/>
          <w:sz w:val="32"/>
          <w:szCs w:val="32"/>
          <w:highlight w:val="none"/>
          <w:lang w:val="en-US" w:eastAsia="zh-CN" w:bidi="ar-SA"/>
        </w:rPr>
        <w:t>条【救援队伍、物资与避灾场所】</w:t>
      </w:r>
      <w:bookmarkEnd w:id="3"/>
      <w:r>
        <w:rPr>
          <w:rFonts w:hint="eastAsia"/>
          <w:sz w:val="32"/>
          <w:szCs w:val="32"/>
          <w:highlight w:val="none"/>
          <w:lang w:val="en-US" w:eastAsia="zh-CN"/>
        </w:rPr>
        <w:t>各级人民政府及有关部门应当按照国家和省规定，加强气象灾害应急救援队伍建设，储备并及时更新补充抢险救援物资，保证应急避灾场所正常使用。</w:t>
      </w:r>
    </w:p>
    <w:p w14:paraId="3C790D7F">
      <w:pPr>
        <w:pStyle w:val="7"/>
        <w:pageBreakBefore w:val="0"/>
        <w:widowControl w:val="0"/>
        <w:kinsoku/>
        <w:wordWrap/>
        <w:overflowPunct/>
        <w:topLinePunct w:val="0"/>
        <w:autoSpaceDE/>
        <w:autoSpaceDN/>
        <w:bidi w:val="0"/>
        <w:snapToGrid w:val="0"/>
        <w:spacing w:line="560" w:lineRule="atLeast"/>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bookmarkStart w:id="4" w:name="_Toc22038"/>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二十七</w:t>
      </w:r>
      <w:r>
        <w:rPr>
          <w:rFonts w:hint="eastAsia" w:ascii="Times New Roman" w:hAnsi="Times New Roman" w:eastAsia="黑体" w:cs="Times New Roman"/>
          <w:b w:val="0"/>
          <w:bCs w:val="0"/>
          <w:color w:val="000000"/>
          <w:kern w:val="2"/>
          <w:sz w:val="32"/>
          <w:szCs w:val="32"/>
          <w:highlight w:val="none"/>
          <w:lang w:val="en-US" w:eastAsia="zh-CN" w:bidi="ar-SA"/>
        </w:rPr>
        <w:t>条【气象灾害风险转移】</w:t>
      </w:r>
      <w:bookmarkEnd w:id="4"/>
      <w:r>
        <w:rPr>
          <w:rFonts w:hint="eastAsia" w:ascii="Times New Roman" w:hAnsi="Times New Roman" w:eastAsia="仿宋_GB2312" w:cs="Times New Roman"/>
          <w:b w:val="0"/>
          <w:bCs w:val="0"/>
          <w:color w:val="000000"/>
          <w:kern w:val="2"/>
          <w:sz w:val="32"/>
          <w:szCs w:val="32"/>
          <w:highlight w:val="none"/>
          <w:lang w:val="en-US" w:eastAsia="zh-CN" w:bidi="ar-SA"/>
        </w:rPr>
        <w:t>鼓励和支持保险机构开发农业、住房、交通、旅游等领域涉及气象灾害的保险产品，引导公民、法人和其他组织通过购买保险降低气象灾害造成的损失。</w:t>
      </w:r>
    </w:p>
    <w:p w14:paraId="63403940">
      <w:pPr>
        <w:pageBreakBefore w:val="0"/>
        <w:widowControl w:val="0"/>
        <w:numPr>
          <w:ilvl w:val="0"/>
          <w:numId w:val="0"/>
        </w:numPr>
        <w:kinsoku/>
        <w:wordWrap/>
        <w:overflowPunct/>
        <w:topLinePunct w:val="0"/>
        <w:autoSpaceDE/>
        <w:autoSpaceDN/>
        <w:bidi w:val="0"/>
        <w:snapToGrid w:val="0"/>
        <w:spacing w:line="560" w:lineRule="atLeast"/>
        <w:ind w:leftChars="0"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气象、农业农村、城乡建设、交通运输、文化旅游等部门应当为保险机构开展气象灾害保险业务提供技术支持。</w:t>
      </w:r>
    </w:p>
    <w:p w14:paraId="19EA9B27">
      <w:pPr>
        <w:pStyle w:val="3"/>
        <w:pageBreakBefore w:val="0"/>
        <w:widowControl w:val="0"/>
        <w:kinsoku/>
        <w:wordWrap/>
        <w:overflowPunct/>
        <w:topLinePunct w:val="0"/>
        <w:autoSpaceDE/>
        <w:autoSpaceDN/>
        <w:bidi w:val="0"/>
        <w:snapToGrid w:val="0"/>
        <w:spacing w:line="560" w:lineRule="atLeast"/>
        <w:jc w:val="center"/>
        <w:textAlignment w:val="auto"/>
        <w:rPr>
          <w:rFonts w:hint="eastAsia"/>
          <w:b w:val="0"/>
          <w:bCs w:val="0"/>
          <w:lang w:val="en-US" w:eastAsia="zh-CN"/>
        </w:rPr>
      </w:pPr>
      <w:r>
        <w:rPr>
          <w:rFonts w:hint="eastAsia"/>
          <w:b w:val="0"/>
          <w:bCs w:val="0"/>
          <w:lang w:val="en-US" w:eastAsia="zh-CN"/>
        </w:rPr>
        <w:t>第六章法律责任</w:t>
      </w:r>
    </w:p>
    <w:p w14:paraId="68AD0CC5">
      <w:pPr>
        <w:pStyle w:val="7"/>
        <w:pageBreakBefore w:val="0"/>
        <w:widowControl w:val="0"/>
        <w:numPr>
          <w:ilvl w:val="0"/>
          <w:numId w:val="0"/>
        </w:numPr>
        <w:kinsoku/>
        <w:wordWrap/>
        <w:overflowPunct/>
        <w:topLinePunct w:val="0"/>
        <w:autoSpaceDE/>
        <w:autoSpaceDN/>
        <w:bidi w:val="0"/>
        <w:snapToGrid w:val="0"/>
        <w:spacing w:line="560" w:lineRule="atLeast"/>
        <w:ind w:leftChars="0" w:firstLine="640" w:firstLineChars="200"/>
        <w:textAlignment w:val="auto"/>
        <w:rPr>
          <w:rFonts w:hint="eastAsia"/>
          <w:sz w:val="32"/>
          <w:szCs w:val="32"/>
          <w:highlight w:val="none"/>
          <w:lang w:val="en-US" w:eastAsia="zh-CN"/>
        </w:rPr>
      </w:pPr>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二十八</w:t>
      </w:r>
      <w:r>
        <w:rPr>
          <w:rFonts w:hint="eastAsia" w:ascii="Times New Roman" w:hAnsi="Times New Roman" w:eastAsia="黑体" w:cs="Times New Roman"/>
          <w:b w:val="0"/>
          <w:bCs w:val="0"/>
          <w:color w:val="000000"/>
          <w:kern w:val="2"/>
          <w:sz w:val="32"/>
          <w:szCs w:val="32"/>
          <w:highlight w:val="none"/>
          <w:lang w:val="en-US" w:eastAsia="zh-CN" w:bidi="ar-SA"/>
        </w:rPr>
        <w:t>条【转致条款】</w:t>
      </w:r>
      <w:r>
        <w:rPr>
          <w:rFonts w:hint="eastAsia"/>
          <w:sz w:val="32"/>
          <w:szCs w:val="32"/>
          <w:highlight w:val="none"/>
          <w:lang w:val="en-US" w:eastAsia="zh-CN"/>
        </w:rPr>
        <w:t>违反本条例的行为，法律、法规已有法律责任规定的，从其规定。</w:t>
      </w:r>
    </w:p>
    <w:p w14:paraId="29E03C6F">
      <w:pPr>
        <w:pStyle w:val="7"/>
        <w:pageBreakBefore w:val="0"/>
        <w:widowControl w:val="0"/>
        <w:kinsoku/>
        <w:wordWrap/>
        <w:overflowPunct/>
        <w:topLinePunct w:val="0"/>
        <w:autoSpaceDE/>
        <w:autoSpaceDN/>
        <w:bidi w:val="0"/>
        <w:snapToGrid w:val="0"/>
        <w:spacing w:line="560" w:lineRule="atLeast"/>
        <w:textAlignment w:val="auto"/>
        <w:rPr>
          <w:rFonts w:hint="eastAsia"/>
          <w:sz w:val="32"/>
          <w:szCs w:val="32"/>
          <w:highlight w:val="none"/>
          <w:lang w:val="en-US" w:eastAsia="zh-CN"/>
        </w:rPr>
      </w:pPr>
      <w:bookmarkStart w:id="5" w:name="_Toc16226"/>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二十九</w:t>
      </w:r>
      <w:r>
        <w:rPr>
          <w:rFonts w:hint="eastAsia" w:ascii="Times New Roman" w:hAnsi="Times New Roman" w:eastAsia="黑体" w:cs="Times New Roman"/>
          <w:b w:val="0"/>
          <w:bCs w:val="0"/>
          <w:color w:val="000000"/>
          <w:kern w:val="2"/>
          <w:sz w:val="32"/>
          <w:szCs w:val="32"/>
          <w:highlight w:val="none"/>
          <w:lang w:val="en-US" w:eastAsia="zh-CN" w:bidi="ar-SA"/>
        </w:rPr>
        <w:t>条【法律责任】</w:t>
      </w:r>
      <w:bookmarkEnd w:id="5"/>
      <w:r>
        <w:rPr>
          <w:rFonts w:hint="eastAsia"/>
          <w:sz w:val="32"/>
          <w:szCs w:val="32"/>
          <w:highlight w:val="none"/>
          <w:lang w:val="en-US" w:eastAsia="zh-CN"/>
        </w:rPr>
        <w:t>各级人民政府和有关部门及其工作人员违反本条例，未依法履行气象灾害预警与响应职责的，由有权机关责令改正，对直接负责的主管人员和其他直接责任人员依法给予处分。</w:t>
      </w:r>
    </w:p>
    <w:p w14:paraId="6C095C6C">
      <w:pPr>
        <w:pStyle w:val="3"/>
        <w:pageBreakBefore w:val="0"/>
        <w:widowControl w:val="0"/>
        <w:kinsoku/>
        <w:wordWrap/>
        <w:overflowPunct/>
        <w:topLinePunct w:val="0"/>
        <w:autoSpaceDE/>
        <w:autoSpaceDN/>
        <w:bidi w:val="0"/>
        <w:snapToGrid w:val="0"/>
        <w:spacing w:line="560" w:lineRule="atLeast"/>
        <w:jc w:val="center"/>
        <w:textAlignment w:val="auto"/>
        <w:rPr>
          <w:rFonts w:hint="eastAsia"/>
          <w:b w:val="0"/>
          <w:bCs w:val="0"/>
          <w:lang w:val="en-US" w:eastAsia="zh-CN"/>
        </w:rPr>
      </w:pPr>
      <w:r>
        <w:rPr>
          <w:rFonts w:hint="eastAsia"/>
          <w:b w:val="0"/>
          <w:bCs w:val="0"/>
          <w:lang w:val="en-US" w:eastAsia="zh-CN"/>
        </w:rPr>
        <w:t>第七章附则</w:t>
      </w:r>
      <w:bookmarkStart w:id="6" w:name="_Toc17592"/>
    </w:p>
    <w:p w14:paraId="7E7BC33A">
      <w:pPr>
        <w:pageBreakBefore w:val="0"/>
        <w:widowControl w:val="0"/>
        <w:numPr>
          <w:ilvl w:val="0"/>
          <w:numId w:val="0"/>
        </w:numPr>
        <w:kinsoku/>
        <w:wordWrap/>
        <w:overflowPunct/>
        <w:topLinePunct w:val="0"/>
        <w:autoSpaceDE/>
        <w:autoSpaceDN/>
        <w:bidi w:val="0"/>
        <w:snapToGrid w:val="0"/>
        <w:spacing w:line="560" w:lineRule="atLeast"/>
        <w:ind w:leftChars="0" w:firstLine="640" w:firstLineChars="200"/>
        <w:textAlignment w:val="auto"/>
        <w:rPr>
          <w:rFonts w:hint="eastAsia"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第</w:t>
      </w:r>
      <w:r>
        <w:rPr>
          <w:rFonts w:hint="eastAsia" w:eastAsia="黑体" w:cs="Times New Roman"/>
          <w:b w:val="0"/>
          <w:bCs w:val="0"/>
          <w:color w:val="000000"/>
          <w:kern w:val="2"/>
          <w:sz w:val="32"/>
          <w:szCs w:val="32"/>
          <w:highlight w:val="none"/>
          <w:lang w:val="en-US" w:eastAsia="zh-CN" w:bidi="ar-SA"/>
        </w:rPr>
        <w:t>三十</w:t>
      </w:r>
      <w:r>
        <w:rPr>
          <w:rFonts w:hint="eastAsia" w:ascii="Times New Roman" w:hAnsi="Times New Roman" w:eastAsia="黑体" w:cs="Times New Roman"/>
          <w:b w:val="0"/>
          <w:bCs w:val="0"/>
          <w:color w:val="000000"/>
          <w:kern w:val="2"/>
          <w:sz w:val="32"/>
          <w:szCs w:val="32"/>
          <w:highlight w:val="none"/>
          <w:lang w:val="en-US" w:eastAsia="zh-CN" w:bidi="ar-SA"/>
        </w:rPr>
        <w:t>条【施行日期】</w:t>
      </w:r>
      <w:bookmarkEnd w:id="6"/>
      <w:r>
        <w:rPr>
          <w:rFonts w:hint="eastAsia" w:ascii="Times New Roman" w:hAnsi="Times New Roman" w:eastAsia="仿宋_GB2312" w:cs="Times New Roman"/>
          <w:color w:val="000000"/>
          <w:kern w:val="2"/>
          <w:sz w:val="32"/>
          <w:szCs w:val="32"/>
          <w:highlight w:val="none"/>
          <w:lang w:val="en-US" w:eastAsia="zh-CN" w:bidi="ar-SA"/>
        </w:rPr>
        <w:t>本条例自xxxx年x月x日起施行。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9AE08"/>
    <w:multiLevelType w:val="singleLevel"/>
    <w:tmpl w:val="BDB9AE08"/>
    <w:lvl w:ilvl="0" w:tentative="0">
      <w:start w:val="5"/>
      <w:numFmt w:val="chineseCounting"/>
      <w:suff w:val="space"/>
      <w:lvlText w:val="第%1章"/>
      <w:lvlJc w:val="left"/>
      <w:rPr>
        <w:rFonts w:hint="eastAsia" w:ascii="黑体" w:hAnsi="黑体" w:eastAsia="黑体" w:cs="黑体"/>
        <w:sz w:val="32"/>
        <w:szCs w:val="32"/>
      </w:rPr>
    </w:lvl>
  </w:abstractNum>
  <w:abstractNum w:abstractNumId="1">
    <w:nsid w:val="37127C59"/>
    <w:multiLevelType w:val="singleLevel"/>
    <w:tmpl w:val="37127C59"/>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E17E3"/>
    <w:rsid w:val="04893C18"/>
    <w:rsid w:val="08CC4906"/>
    <w:rsid w:val="08FD6454"/>
    <w:rsid w:val="0C601702"/>
    <w:rsid w:val="0D305579"/>
    <w:rsid w:val="178A7F7B"/>
    <w:rsid w:val="1B1E1106"/>
    <w:rsid w:val="24BE74B6"/>
    <w:rsid w:val="34A075E3"/>
    <w:rsid w:val="4B8348BA"/>
    <w:rsid w:val="4BC11602"/>
    <w:rsid w:val="4BC811A6"/>
    <w:rsid w:val="52FB52AE"/>
    <w:rsid w:val="5C2869E8"/>
    <w:rsid w:val="5E194AEA"/>
    <w:rsid w:val="5F5E4D05"/>
    <w:rsid w:val="6098413C"/>
    <w:rsid w:val="65241A3B"/>
    <w:rsid w:val="66CF306B"/>
    <w:rsid w:val="67F16D68"/>
    <w:rsid w:val="6A457952"/>
    <w:rsid w:val="6D3072C7"/>
    <w:rsid w:val="733E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黑体" w:cs="Times New Roman"/>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样式112"/>
    <w:basedOn w:val="1"/>
    <w:next w:val="1"/>
    <w:qFormat/>
    <w:uiPriority w:val="0"/>
    <w:pPr>
      <w:keepNext/>
      <w:keepLines/>
      <w:adjustRightInd w:val="0"/>
      <w:snapToGrid w:val="0"/>
      <w:spacing w:line="340" w:lineRule="atLeast"/>
      <w:ind w:firstLine="640" w:firstLineChars="200"/>
      <w:outlineLvl w:val="1"/>
    </w:pPr>
    <w:rPr>
      <w:rFonts w:hint="eastAsia" w:ascii="Times New Roman" w:hAnsi="Times New Roman" w:eastAsia="仿宋_GB2312" w:cs="Times New Roman"/>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4749</Words>
  <Characters>4756</Characters>
  <Lines>0</Lines>
  <Paragraphs>0</Paragraphs>
  <TotalTime>8</TotalTime>
  <ScaleCrop>false</ScaleCrop>
  <LinksUpToDate>false</LinksUpToDate>
  <CharactersWithSpaces>4768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2025-07-24T23:06:00Z</dcterms:created>
  <dc:creator>李春燕</dc:creator>
  <cp:lastModifiedBy>古月七十六</cp:lastModifiedBy>
  <dcterms:modified xsi:type="dcterms:W3CDTF">2025-08-25T02:54:34Z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18D55C083C8C42078B995C9CBF69DEFB_13</vt:lpwstr>
  </property>
  <property fmtid="{D5CDD505-2E9C-101B-9397-08002B2CF9AE}" pid="4" name="KSOTemplateDocerSaveRecord">
    <vt:lpwstr>eyJoZGlkIjoiOWU5OGM4Mzg5NDQxMTNkZWFiM2UxOTU3NjY5ZmMyNTUiLCJ1c2VySWQiOiIzMDYxNTU3NzkifQ==</vt:lpwstr>
  </property>
</Properties>
</file>