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789A">
      <w:pPr>
        <w:widowControl/>
        <w:shd w:val="clear" w:color="auto" w:fill="FFFFFF"/>
        <w:spacing w:line="660" w:lineRule="exact"/>
        <w:jc w:val="center"/>
        <w:rPr>
          <w:rFonts w:ascii="Calibri" w:hAnsi="Calibri" w:eastAsia="宋体" w:cs="Calibri"/>
          <w:color w:val="333333"/>
          <w:kern w:val="0"/>
          <w:szCs w:val="21"/>
        </w:rPr>
      </w:pPr>
      <w:bookmarkStart w:id="1" w:name="_GoBack"/>
      <w:bookmarkStart w:id="0" w:name="OLE_LINK1"/>
      <w:r>
        <w:rPr>
          <w:rFonts w:hint="eastAsia" w:ascii="方正小标宋简体" w:hAnsi="方正小标宋简体" w:eastAsia="方正小标宋简体" w:cs="Calibri"/>
          <w:color w:val="333333"/>
          <w:kern w:val="0"/>
          <w:sz w:val="44"/>
          <w:szCs w:val="44"/>
        </w:rPr>
        <w:t>《祁门县人民政府森林禁火令》</w:t>
      </w:r>
    </w:p>
    <w:p w14:paraId="7DA7A9C6">
      <w:pPr>
        <w:widowControl/>
        <w:shd w:val="clear" w:color="auto" w:fill="FFFFFF"/>
        <w:spacing w:line="660" w:lineRule="exact"/>
        <w:jc w:val="center"/>
        <w:rPr>
          <w:rFonts w:ascii="Calibri" w:hAnsi="Calibri" w:eastAsia="宋体" w:cs="Calibri"/>
          <w:color w:val="333333"/>
          <w:kern w:val="0"/>
          <w:szCs w:val="21"/>
        </w:rPr>
      </w:pPr>
      <w:r>
        <w:rPr>
          <w:rFonts w:hint="eastAsia" w:ascii="方正小标宋简体" w:hAnsi="方正小标宋简体" w:eastAsia="方正小标宋简体" w:cs="Calibri"/>
          <w:color w:val="333333"/>
          <w:kern w:val="0"/>
          <w:sz w:val="44"/>
          <w:szCs w:val="44"/>
        </w:rPr>
        <w:t>政策解读</w:t>
      </w:r>
    </w:p>
    <w:p w14:paraId="731A8669">
      <w:pPr>
        <w:widowControl/>
        <w:shd w:val="clear" w:color="auto" w:fill="FFFFFF"/>
        <w:spacing w:line="520" w:lineRule="exact"/>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 </w:t>
      </w:r>
    </w:p>
    <w:p w14:paraId="2E928EDA">
      <w:pPr>
        <w:widowControl/>
        <w:shd w:val="clear" w:color="auto" w:fill="FFFFFF"/>
        <w:spacing w:line="520" w:lineRule="exact"/>
        <w:ind w:firstLine="640"/>
        <w:rPr>
          <w:rFonts w:ascii="黑体" w:hAnsi="黑体" w:eastAsia="黑体" w:cs="Calibri"/>
          <w:color w:val="333333"/>
          <w:kern w:val="0"/>
          <w:sz w:val="32"/>
          <w:szCs w:val="32"/>
        </w:rPr>
      </w:pPr>
      <w:r>
        <w:rPr>
          <w:rFonts w:hint="eastAsia" w:ascii="黑体" w:hAnsi="黑体" w:eastAsia="黑体" w:cs="Calibri"/>
          <w:color w:val="333333"/>
          <w:kern w:val="0"/>
          <w:sz w:val="32"/>
          <w:szCs w:val="32"/>
        </w:rPr>
        <w:t>一、制定的基本情况和必要性</w:t>
      </w:r>
    </w:p>
    <w:p w14:paraId="46722D47">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森林防火工作是事关人民群众生命财产和生态安全的大事。我县森林资源丰富，森林防火任务十分繁重，为加强火源管控，推动森林防灭火工作持续稳定向好，及时发布森林禁火令十分必要。</w:t>
      </w:r>
    </w:p>
    <w:p w14:paraId="6DA8BD42">
      <w:pPr>
        <w:widowControl/>
        <w:shd w:val="clear" w:color="auto" w:fill="FFFFFF"/>
        <w:spacing w:line="520" w:lineRule="exact"/>
        <w:ind w:firstLine="640"/>
        <w:rPr>
          <w:rFonts w:ascii="黑体" w:hAnsi="黑体" w:eastAsia="黑体" w:cs="Calibri"/>
          <w:color w:val="333333"/>
          <w:kern w:val="0"/>
          <w:szCs w:val="21"/>
        </w:rPr>
      </w:pPr>
      <w:r>
        <w:rPr>
          <w:rFonts w:hint="eastAsia" w:ascii="黑体" w:hAnsi="黑体" w:eastAsia="黑体" w:cs="Calibri"/>
          <w:color w:val="333333"/>
          <w:kern w:val="0"/>
          <w:sz w:val="32"/>
          <w:szCs w:val="32"/>
        </w:rPr>
        <w:t>二、起草过程和制定依据</w:t>
      </w:r>
    </w:p>
    <w:p w14:paraId="4FF08663">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（一）起草过程</w:t>
      </w:r>
    </w:p>
    <w:p w14:paraId="2EE7404A">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县林业局结合我县森林防火工作实际，参照上一轮森林禁火令，起草了</w:t>
      </w:r>
      <w:r>
        <w:rPr>
          <w:rFonts w:hint="eastAsia" w:ascii="仿宋_GB2312" w:hAnsi="仿宋" w:eastAsia="仿宋_GB2312" w:cs="Calibri"/>
          <w:color w:val="333333"/>
          <w:kern w:val="0"/>
          <w:sz w:val="32"/>
        </w:rPr>
        <w:t>《祁门县</w:t>
      </w:r>
      <w:r>
        <w:rPr>
          <w:rFonts w:hint="eastAsia" w:ascii="仿宋_GB2312" w:hAnsi="宋体" w:eastAsia="仿宋_GB2312" w:cs="Calibri"/>
          <w:color w:val="333333"/>
          <w:kern w:val="0"/>
          <w:sz w:val="32"/>
        </w:rPr>
        <w:t>人民政府</w:t>
      </w:r>
      <w:r>
        <w:rPr>
          <w:rFonts w:hint="eastAsia" w:ascii="仿宋_GB2312" w:hAnsi="仿宋" w:eastAsia="仿宋_GB2312" w:cs="Calibri"/>
          <w:color w:val="333333"/>
          <w:kern w:val="0"/>
          <w:sz w:val="32"/>
        </w:rPr>
        <w:t>森林禁火令(征求意见稿)》</w:t>
      </w:r>
      <w:r>
        <w:rPr>
          <w:rFonts w:hint="eastAsia" w:ascii="仿宋_GB2312" w:hAnsi="Calibri" w:eastAsia="仿宋_GB2312" w:cs="Calibri"/>
          <w:color w:val="333333"/>
          <w:kern w:val="0"/>
          <w:sz w:val="32"/>
          <w:szCs w:val="32"/>
        </w:rPr>
        <w:t>，征求了各乡镇、县直有关部门（单位）意见，并面向社会公开征求意见，形成了</w:t>
      </w:r>
      <w:r>
        <w:rPr>
          <w:rFonts w:hint="eastAsia" w:ascii="仿宋_GB2312" w:hAnsi="仿宋" w:eastAsia="仿宋_GB2312" w:cs="Calibri"/>
          <w:color w:val="333333"/>
          <w:kern w:val="0"/>
          <w:sz w:val="32"/>
        </w:rPr>
        <w:t>《祁门县</w:t>
      </w:r>
      <w:r>
        <w:rPr>
          <w:rFonts w:hint="eastAsia" w:ascii="仿宋_GB2312" w:hAnsi="宋体" w:eastAsia="仿宋_GB2312" w:cs="Calibri"/>
          <w:color w:val="333333"/>
          <w:kern w:val="0"/>
          <w:sz w:val="32"/>
        </w:rPr>
        <w:t>人民政府</w:t>
      </w:r>
      <w:r>
        <w:rPr>
          <w:rFonts w:hint="eastAsia" w:ascii="仿宋_GB2312" w:hAnsi="仿宋" w:eastAsia="仿宋_GB2312" w:cs="Calibri"/>
          <w:color w:val="333333"/>
          <w:kern w:val="0"/>
          <w:sz w:val="32"/>
        </w:rPr>
        <w:t>森林禁火令(送审稿)》</w:t>
      </w:r>
      <w:r>
        <w:rPr>
          <w:rFonts w:hint="eastAsia" w:ascii="仿宋_GB2312" w:hAnsi="Calibri" w:eastAsia="仿宋_GB2312" w:cs="Calibri"/>
          <w:color w:val="333333"/>
          <w:kern w:val="0"/>
          <w:sz w:val="32"/>
          <w:szCs w:val="32"/>
        </w:rPr>
        <w:t>。</w:t>
      </w:r>
    </w:p>
    <w:p w14:paraId="7FC1D2C5">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（二）制定依据</w:t>
      </w:r>
    </w:p>
    <w:p w14:paraId="6768A726">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《祁门县人民政府森林禁火令》是依据现行《森林防火条例》《安徽省森林防火办法》等规定发布。</w:t>
      </w:r>
    </w:p>
    <w:p w14:paraId="2F32206D">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1.《森林防火条例》</w:t>
      </w:r>
    </w:p>
    <w:p w14:paraId="37509031">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第二十三条  县级以上地方人民政府应当根据本行政区域内森林资源分布状况和森林火灾发生规律，划定森林防火区，规定森林防火期，并向社会公布。</w:t>
      </w:r>
    </w:p>
    <w:p w14:paraId="619CD834">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森林防火期内，各级人民政府、森林、林木、林地的经营单位和个人，应当根据森林火险预报，采取相应的预防和应急准备措施。</w:t>
      </w:r>
    </w:p>
    <w:p w14:paraId="2C73BE89">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第二十八条  森林防火期内，预报有高温、干旱、大风等高火险天气的，县级以上地方人民政府应当划定森林高火险区，规定森林高火险期。必要时，县级以上地方人民政府可以根据需要发布命令，严禁一切野外用火；对可能引起森林火灾的居民生活用火应当严格管理。</w:t>
      </w:r>
    </w:p>
    <w:p w14:paraId="2987E974">
      <w:pPr>
        <w:widowControl/>
        <w:shd w:val="clear" w:color="auto" w:fill="FFFFFF"/>
        <w:spacing w:line="520" w:lineRule="exact"/>
        <w:ind w:firstLine="640" w:firstLineChars="20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2.《安徽省森林防火办法》</w:t>
      </w:r>
    </w:p>
    <w:p w14:paraId="335A618C">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第二十条 县级以上人民政府应当根据本行政区域内森林资源分布情况和森林火灾发生规律，划定森林防火区，确定森林防火期，并向社会公布。</w:t>
      </w:r>
    </w:p>
    <w:p w14:paraId="1E86921B">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每年11月1日至次年4月30日为本省森林防火期。县级以上人民政府根据实际情况，可以决定本行政区域提前进入或者推迟结束森林防火期。</w:t>
      </w:r>
    </w:p>
    <w:p w14:paraId="437CE470">
      <w:pPr>
        <w:widowControl/>
        <w:shd w:val="clear" w:color="auto" w:fill="FFFFFF"/>
        <w:spacing w:line="520" w:lineRule="exact"/>
        <w:ind w:left="638" w:leftChars="304"/>
        <w:rPr>
          <w:rFonts w:ascii="黑体" w:hAnsi="黑体" w:eastAsia="黑体" w:cs="Calibri"/>
          <w:color w:val="333333"/>
          <w:kern w:val="0"/>
          <w:sz w:val="32"/>
          <w:szCs w:val="32"/>
        </w:rPr>
      </w:pPr>
      <w:r>
        <w:rPr>
          <w:rFonts w:hint="eastAsia" w:ascii="仿宋_GB2312" w:hAnsi="Calibri" w:eastAsia="仿宋_GB2312" w:cs="Calibri"/>
          <w:color w:val="333333"/>
          <w:kern w:val="0"/>
          <w:sz w:val="32"/>
          <w:szCs w:val="32"/>
        </w:rPr>
        <w:t>第二十二条 森林防火期内，禁止在森林防火区野外用火。</w:t>
      </w:r>
      <w:r>
        <w:rPr>
          <w:rFonts w:hint="eastAsia" w:ascii="黑体" w:hAnsi="黑体" w:eastAsia="黑体" w:cs="Calibri"/>
          <w:color w:val="333333"/>
          <w:kern w:val="0"/>
          <w:sz w:val="32"/>
          <w:szCs w:val="32"/>
        </w:rPr>
        <w:t>三、主要内容</w:t>
      </w:r>
    </w:p>
    <w:p w14:paraId="295F1795">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（一）禁火时间</w:t>
      </w:r>
    </w:p>
    <w:p w14:paraId="7B4C7521">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202</w:t>
      </w:r>
      <w:r>
        <w:rPr>
          <w:rFonts w:hint="eastAsia" w:ascii="仿宋_GB2312" w:hAnsi="Calibri" w:eastAsia="仿宋_GB2312" w:cs="Calibri"/>
          <w:color w:val="333333"/>
          <w:kern w:val="0"/>
          <w:sz w:val="32"/>
          <w:szCs w:val="32"/>
          <w:lang w:val="en-US" w:eastAsia="zh-CN"/>
        </w:rPr>
        <w:t>5</w:t>
      </w:r>
      <w:r>
        <w:rPr>
          <w:rFonts w:hint="eastAsia" w:ascii="仿宋_GB2312" w:hAnsi="Calibri" w:eastAsia="仿宋_GB2312" w:cs="Calibri"/>
          <w:color w:val="333333"/>
          <w:kern w:val="0"/>
          <w:sz w:val="32"/>
          <w:szCs w:val="32"/>
        </w:rPr>
        <w:t>年10月1日至202</w:t>
      </w:r>
      <w:r>
        <w:rPr>
          <w:rFonts w:hint="eastAsia" w:ascii="仿宋_GB2312" w:hAnsi="Calibri" w:eastAsia="仿宋_GB2312" w:cs="Calibri"/>
          <w:color w:val="333333"/>
          <w:kern w:val="0"/>
          <w:sz w:val="32"/>
          <w:szCs w:val="32"/>
          <w:lang w:val="en-US" w:eastAsia="zh-CN"/>
        </w:rPr>
        <w:t>6</w:t>
      </w:r>
      <w:r>
        <w:rPr>
          <w:rFonts w:hint="eastAsia" w:ascii="仿宋_GB2312" w:hAnsi="Calibri" w:eastAsia="仿宋_GB2312" w:cs="Calibri"/>
          <w:color w:val="333333"/>
          <w:kern w:val="0"/>
          <w:sz w:val="32"/>
          <w:szCs w:val="32"/>
        </w:rPr>
        <w:t>年5月4日。</w:t>
      </w:r>
    </w:p>
    <w:p w14:paraId="590E9B88">
      <w:pPr>
        <w:widowControl/>
        <w:shd w:val="clear" w:color="auto" w:fill="FFFFFF"/>
        <w:spacing w:line="520" w:lineRule="exact"/>
        <w:ind w:firstLine="640"/>
        <w:rPr>
          <w:rFonts w:ascii="仿宋_GB2312" w:hAnsi="Calibri" w:eastAsia="仿宋_GB2312" w:cs="Calibri"/>
          <w:color w:val="333333"/>
          <w:kern w:val="0"/>
          <w:szCs w:val="21"/>
        </w:rPr>
      </w:pPr>
      <w:r>
        <w:rPr>
          <w:rFonts w:hint="eastAsia" w:ascii="仿宋_GB2312" w:hAnsi="Calibri" w:eastAsia="仿宋_GB2312" w:cs="Calibri"/>
          <w:color w:val="333333"/>
          <w:kern w:val="0"/>
          <w:sz w:val="32"/>
          <w:szCs w:val="32"/>
        </w:rPr>
        <w:t>（二）禁火区域</w:t>
      </w:r>
    </w:p>
    <w:p w14:paraId="408EFE0B">
      <w:pPr>
        <w:widowControl/>
        <w:shd w:val="clear" w:color="auto" w:fill="FFFFFF"/>
        <w:spacing w:line="520" w:lineRule="exact"/>
        <w:ind w:firstLine="640"/>
        <w:rPr>
          <w:rFonts w:ascii="仿宋_GB2312" w:hAnsi="Calibri" w:eastAsia="仿宋_GB2312" w:cs="Calibri"/>
          <w:color w:val="333333"/>
          <w:kern w:val="0"/>
          <w:szCs w:val="21"/>
        </w:rPr>
      </w:pPr>
      <w:r>
        <w:rPr>
          <w:rFonts w:ascii="仿宋_GB2312" w:hAnsi="Calibri" w:eastAsia="仿宋_GB2312" w:cs="Calibri"/>
          <w:color w:val="333333"/>
          <w:kern w:val="0"/>
          <w:sz w:val="32"/>
          <w:szCs w:val="32"/>
        </w:rPr>
        <w:t>全县所有</w:t>
      </w:r>
      <w:r>
        <w:rPr>
          <w:rFonts w:hint="eastAsia" w:ascii="仿宋_GB2312" w:hAnsi="Calibri" w:eastAsia="仿宋_GB2312" w:cs="Calibri"/>
          <w:color w:val="333333"/>
          <w:kern w:val="0"/>
          <w:sz w:val="32"/>
          <w:szCs w:val="32"/>
        </w:rPr>
        <w:t>森林防火区（</w:t>
      </w:r>
      <w:r>
        <w:rPr>
          <w:rFonts w:ascii="仿宋_GB2312" w:hAnsi="Calibri" w:eastAsia="仿宋_GB2312" w:cs="Calibri"/>
          <w:color w:val="333333"/>
          <w:kern w:val="0"/>
          <w:sz w:val="32"/>
          <w:szCs w:val="32"/>
        </w:rPr>
        <w:t>林地及距林地边缘100米范围内</w:t>
      </w:r>
      <w:r>
        <w:rPr>
          <w:rFonts w:hint="eastAsia" w:ascii="仿宋_GB2312" w:hAnsi="Calibri" w:eastAsia="仿宋_GB2312" w:cs="Calibri"/>
          <w:color w:val="333333"/>
          <w:kern w:val="0"/>
          <w:sz w:val="32"/>
          <w:szCs w:val="32"/>
        </w:rPr>
        <w:t>）。</w:t>
      </w:r>
    </w:p>
    <w:p w14:paraId="1A334070">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（三）禁火规定</w:t>
      </w:r>
    </w:p>
    <w:p w14:paraId="26F2F609">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在禁火时间和禁火区域内</w:t>
      </w:r>
      <w:r>
        <w:rPr>
          <w:rFonts w:ascii="仿宋_GB2312" w:hAnsi="Calibri" w:eastAsia="仿宋_GB2312" w:cs="Calibri"/>
          <w:color w:val="333333"/>
          <w:kern w:val="0"/>
          <w:sz w:val="32"/>
          <w:szCs w:val="32"/>
        </w:rPr>
        <w:t>，禁止一切野外用火。凡进入禁火区域活动的单位和个人要严格执行以下规定：</w:t>
      </w:r>
    </w:p>
    <w:p w14:paraId="57D2C952">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1.</w:t>
      </w:r>
      <w:r>
        <w:rPr>
          <w:rFonts w:ascii="仿宋_GB2312" w:hAnsi="Calibri" w:eastAsia="仿宋_GB2312" w:cs="Calibri"/>
          <w:color w:val="333333"/>
          <w:kern w:val="0"/>
          <w:sz w:val="32"/>
          <w:szCs w:val="32"/>
        </w:rPr>
        <w:t>严禁携带火源、火种和易燃物品进入禁火区域；</w:t>
      </w:r>
    </w:p>
    <w:p w14:paraId="73E05119">
      <w:pPr>
        <w:widowControl/>
        <w:shd w:val="clear" w:color="auto" w:fill="FFFFFF"/>
        <w:spacing w:line="520" w:lineRule="exact"/>
        <w:ind w:firstLine="640"/>
        <w:rPr>
          <w:rFonts w:ascii="仿宋_GB2312" w:hAnsi="Calibri" w:eastAsia="仿宋_GB2312" w:cs="Calibri"/>
          <w:color w:val="333333"/>
          <w:kern w:val="0"/>
          <w:sz w:val="32"/>
          <w:szCs w:val="32"/>
        </w:rPr>
      </w:pPr>
      <w:r>
        <w:rPr>
          <w:rFonts w:ascii="仿宋_GB2312" w:hAnsi="Calibri" w:eastAsia="仿宋_GB2312" w:cs="Calibri"/>
          <w:color w:val="333333"/>
          <w:kern w:val="0"/>
          <w:sz w:val="32"/>
          <w:szCs w:val="32"/>
        </w:rPr>
        <w:t>2</w:t>
      </w:r>
      <w:r>
        <w:rPr>
          <w:rFonts w:hint="eastAsia" w:ascii="仿宋_GB2312" w:hAnsi="Calibri" w:eastAsia="仿宋_GB2312" w:cs="Calibri"/>
          <w:color w:val="333333"/>
          <w:kern w:val="0"/>
          <w:sz w:val="32"/>
          <w:szCs w:val="32"/>
        </w:rPr>
        <w:t>.严禁在规定的焚烧池以外烧香烧纸；</w:t>
      </w:r>
    </w:p>
    <w:p w14:paraId="088EFF6F">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3.严禁吸烟、野炊、打火把、烧火取暖、放孔明灯、</w:t>
      </w:r>
      <w:r>
        <w:rPr>
          <w:rFonts w:ascii="仿宋_GB2312" w:hAnsi="Calibri" w:eastAsia="仿宋_GB2312" w:cs="Calibri"/>
          <w:color w:val="333333"/>
          <w:kern w:val="0"/>
          <w:sz w:val="32"/>
          <w:szCs w:val="32"/>
        </w:rPr>
        <w:t>燃放烟花爆竹；</w:t>
      </w:r>
    </w:p>
    <w:p w14:paraId="0FA3306B">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4.严禁炼山、烧木炭、烧茶棵枝、</w:t>
      </w:r>
      <w:r>
        <w:rPr>
          <w:rFonts w:ascii="仿宋_GB2312" w:hAnsi="Calibri" w:eastAsia="仿宋_GB2312" w:cs="Calibri"/>
          <w:color w:val="333333"/>
          <w:kern w:val="0"/>
          <w:sz w:val="32"/>
          <w:szCs w:val="32"/>
        </w:rPr>
        <w:t>烧荒开垦、烧灰积肥、烧田埂地</w:t>
      </w:r>
      <w:r>
        <w:rPr>
          <w:rFonts w:hint="eastAsia" w:ascii="宋体" w:hAnsi="宋体" w:eastAsia="宋体" w:cs="宋体"/>
          <w:color w:val="333333"/>
          <w:kern w:val="0"/>
          <w:sz w:val="32"/>
          <w:szCs w:val="32"/>
        </w:rPr>
        <w:t>塝</w:t>
      </w:r>
      <w:r>
        <w:rPr>
          <w:rFonts w:ascii="仿宋_GB2312" w:hAnsi="Calibri" w:eastAsia="仿宋_GB2312" w:cs="Calibri"/>
          <w:color w:val="333333"/>
          <w:kern w:val="0"/>
          <w:sz w:val="32"/>
          <w:szCs w:val="32"/>
        </w:rPr>
        <w:t>杂草；</w:t>
      </w:r>
    </w:p>
    <w:p w14:paraId="176225A1">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5.</w:t>
      </w:r>
      <w:r>
        <w:rPr>
          <w:rFonts w:ascii="仿宋_GB2312" w:hAnsi="Calibri" w:eastAsia="仿宋_GB2312" w:cs="Calibri"/>
          <w:color w:val="333333"/>
          <w:kern w:val="0"/>
          <w:sz w:val="32"/>
          <w:szCs w:val="32"/>
        </w:rPr>
        <w:t>严禁</w:t>
      </w:r>
      <w:r>
        <w:rPr>
          <w:rFonts w:hint="eastAsia" w:ascii="仿宋_GB2312" w:hAnsi="Calibri" w:eastAsia="仿宋_GB2312" w:cs="Calibri"/>
          <w:color w:val="333333"/>
          <w:kern w:val="0"/>
          <w:sz w:val="32"/>
          <w:szCs w:val="32"/>
        </w:rPr>
        <w:t>私设电网、</w:t>
      </w:r>
      <w:r>
        <w:rPr>
          <w:rFonts w:ascii="仿宋_GB2312" w:hAnsi="Calibri" w:eastAsia="仿宋_GB2312" w:cs="Calibri"/>
          <w:color w:val="333333"/>
          <w:kern w:val="0"/>
          <w:sz w:val="32"/>
          <w:szCs w:val="32"/>
        </w:rPr>
        <w:t>烧火驱蜂驱兽</w:t>
      </w:r>
      <w:r>
        <w:rPr>
          <w:rFonts w:hint="eastAsia" w:ascii="仿宋_GB2312" w:hAnsi="Calibri" w:eastAsia="仿宋_GB2312" w:cs="Calibri"/>
          <w:color w:val="333333"/>
          <w:kern w:val="0"/>
          <w:sz w:val="32"/>
          <w:szCs w:val="32"/>
        </w:rPr>
        <w:t>、</w:t>
      </w:r>
      <w:r>
        <w:rPr>
          <w:rFonts w:ascii="仿宋_GB2312" w:hAnsi="Calibri" w:eastAsia="仿宋_GB2312" w:cs="Calibri"/>
          <w:color w:val="333333"/>
          <w:kern w:val="0"/>
          <w:sz w:val="32"/>
          <w:szCs w:val="32"/>
        </w:rPr>
        <w:t>使用枪械狩猎、施工爆破和实弹射击；</w:t>
      </w:r>
    </w:p>
    <w:p w14:paraId="249847A7">
      <w:pPr>
        <w:widowControl/>
        <w:shd w:val="clear" w:color="auto" w:fill="FFFFFF"/>
        <w:spacing w:line="520" w:lineRule="exact"/>
        <w:ind w:firstLine="640"/>
        <w:rPr>
          <w:rFonts w:ascii="仿宋_GB2312" w:hAnsi="Calibri" w:eastAsia="仿宋_GB2312" w:cs="Calibri"/>
          <w:color w:val="333333"/>
          <w:kern w:val="0"/>
          <w:sz w:val="32"/>
          <w:szCs w:val="32"/>
        </w:rPr>
      </w:pPr>
      <w:r>
        <w:rPr>
          <w:rFonts w:ascii="仿宋_GB2312" w:hAnsi="Calibri" w:eastAsia="仿宋_GB2312" w:cs="Calibri"/>
          <w:color w:val="333333"/>
          <w:kern w:val="0"/>
          <w:sz w:val="32"/>
          <w:szCs w:val="32"/>
        </w:rPr>
        <w:t>6</w:t>
      </w:r>
      <w:r>
        <w:rPr>
          <w:rFonts w:hint="eastAsia" w:ascii="仿宋_GB2312" w:hAnsi="Calibri" w:eastAsia="仿宋_GB2312" w:cs="Calibri"/>
          <w:color w:val="333333"/>
          <w:kern w:val="0"/>
          <w:sz w:val="32"/>
          <w:szCs w:val="32"/>
        </w:rPr>
        <w:t>.</w:t>
      </w:r>
      <w:r>
        <w:rPr>
          <w:rFonts w:ascii="仿宋_GB2312" w:hAnsi="Calibri" w:eastAsia="仿宋_GB2312" w:cs="Calibri"/>
          <w:color w:val="333333"/>
          <w:kern w:val="0"/>
          <w:sz w:val="32"/>
          <w:szCs w:val="32"/>
        </w:rPr>
        <w:t>严禁</w:t>
      </w:r>
      <w:r>
        <w:rPr>
          <w:rFonts w:hint="eastAsia" w:ascii="仿宋_GB2312" w:hAnsi="Calibri" w:eastAsia="仿宋_GB2312" w:cs="Calibri"/>
          <w:color w:val="333333"/>
          <w:kern w:val="0"/>
          <w:sz w:val="32"/>
          <w:szCs w:val="32"/>
        </w:rPr>
        <w:t>其它野外用火及易诱发森林火灾的活动。</w:t>
      </w:r>
    </w:p>
    <w:p w14:paraId="459FEF6D">
      <w:pPr>
        <w:widowControl/>
        <w:shd w:val="clear" w:color="auto" w:fill="FFFFFF"/>
        <w:spacing w:line="520" w:lineRule="exact"/>
        <w:ind w:firstLine="640"/>
        <w:rPr>
          <w:rFonts w:ascii="仿宋_GB2312" w:hAnsi="Calibri" w:eastAsia="仿宋_GB2312" w:cs="Calibri"/>
          <w:color w:val="333333"/>
          <w:kern w:val="0"/>
          <w:sz w:val="32"/>
          <w:szCs w:val="32"/>
        </w:rPr>
      </w:pPr>
      <w:r>
        <w:rPr>
          <w:rFonts w:ascii="仿宋_GB2312" w:hAnsi="Calibri" w:eastAsia="仿宋_GB2312" w:cs="Calibri"/>
          <w:color w:val="333333"/>
          <w:kern w:val="0"/>
          <w:sz w:val="32"/>
          <w:szCs w:val="32"/>
        </w:rPr>
        <w:t>（四）森林、林木、林地的经营</w:t>
      </w:r>
      <w:r>
        <w:rPr>
          <w:rFonts w:hint="eastAsia" w:ascii="仿宋_GB2312" w:hAnsi="Calibri" w:eastAsia="仿宋_GB2312" w:cs="Calibri"/>
          <w:color w:val="333333"/>
          <w:kern w:val="0"/>
          <w:sz w:val="32"/>
          <w:szCs w:val="32"/>
        </w:rPr>
        <w:t>（管护）</w:t>
      </w:r>
      <w:r>
        <w:rPr>
          <w:rFonts w:ascii="仿宋_GB2312" w:hAnsi="Calibri" w:eastAsia="仿宋_GB2312" w:cs="Calibri"/>
          <w:color w:val="333333"/>
          <w:kern w:val="0"/>
          <w:sz w:val="32"/>
          <w:szCs w:val="32"/>
        </w:rPr>
        <w:t>单位和个人，在其经营</w:t>
      </w:r>
      <w:r>
        <w:rPr>
          <w:rFonts w:hint="eastAsia" w:ascii="仿宋_GB2312" w:hAnsi="Calibri" w:eastAsia="仿宋_GB2312" w:cs="Calibri"/>
          <w:color w:val="333333"/>
          <w:kern w:val="0"/>
          <w:sz w:val="32"/>
          <w:szCs w:val="32"/>
        </w:rPr>
        <w:t>（管护）</w:t>
      </w:r>
      <w:r>
        <w:rPr>
          <w:rFonts w:ascii="仿宋_GB2312" w:hAnsi="Calibri" w:eastAsia="仿宋_GB2312" w:cs="Calibri"/>
          <w:color w:val="333333"/>
          <w:kern w:val="0"/>
          <w:sz w:val="32"/>
          <w:szCs w:val="32"/>
        </w:rPr>
        <w:t>范围内承担森林防火责任。</w:t>
      </w:r>
    </w:p>
    <w:p w14:paraId="56EA881D">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（五）</w:t>
      </w:r>
      <w:r>
        <w:rPr>
          <w:rFonts w:ascii="仿宋_GB2312" w:hAnsi="Calibri" w:eastAsia="仿宋_GB2312" w:cs="Calibri"/>
          <w:color w:val="333333"/>
          <w:kern w:val="0"/>
          <w:sz w:val="32"/>
          <w:szCs w:val="32"/>
        </w:rPr>
        <w:t>违反本禁火令</w:t>
      </w:r>
      <w:r>
        <w:rPr>
          <w:rFonts w:hint="eastAsia" w:ascii="仿宋_GB2312" w:hAnsi="Calibri" w:eastAsia="仿宋_GB2312" w:cs="Calibri"/>
          <w:color w:val="333333"/>
          <w:kern w:val="0"/>
          <w:sz w:val="32"/>
          <w:szCs w:val="32"/>
        </w:rPr>
        <w:t>的</w:t>
      </w:r>
      <w:r>
        <w:rPr>
          <w:rFonts w:ascii="仿宋_GB2312" w:hAnsi="Calibri" w:eastAsia="仿宋_GB2312" w:cs="Calibri"/>
          <w:color w:val="333333"/>
          <w:kern w:val="0"/>
          <w:sz w:val="32"/>
          <w:szCs w:val="32"/>
        </w:rPr>
        <w:t>，将依照</w:t>
      </w:r>
      <w:r>
        <w:rPr>
          <w:rFonts w:hint="eastAsia" w:ascii="仿宋_GB2312" w:hAnsi="Calibri" w:eastAsia="仿宋_GB2312" w:cs="Calibri"/>
          <w:color w:val="333333"/>
          <w:kern w:val="0"/>
          <w:sz w:val="32"/>
          <w:szCs w:val="32"/>
        </w:rPr>
        <w:t>《森林防火条例》第五十条、第五十一条，《中华人民共和国治安管理处罚法》第五十条和《中华人民共和国消防法》第六十三条、第六十四条之规定，依法予以罚款、拘留等相应处罚；涉嫌犯罪的，依法追究刑事责任</w:t>
      </w:r>
      <w:r>
        <w:rPr>
          <w:rFonts w:ascii="仿宋_GB2312" w:hAnsi="Calibri" w:eastAsia="仿宋_GB2312" w:cs="Calibri"/>
          <w:color w:val="333333"/>
          <w:kern w:val="0"/>
          <w:sz w:val="32"/>
          <w:szCs w:val="32"/>
        </w:rPr>
        <w:t>。</w:t>
      </w:r>
    </w:p>
    <w:p w14:paraId="787E8817">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（六）</w:t>
      </w:r>
      <w:r>
        <w:rPr>
          <w:rFonts w:ascii="仿宋_GB2312" w:hAnsi="Calibri" w:eastAsia="仿宋_GB2312" w:cs="Calibri"/>
          <w:color w:val="333333"/>
          <w:kern w:val="0"/>
          <w:sz w:val="32"/>
          <w:szCs w:val="32"/>
        </w:rPr>
        <w:t>各级机关、企事业单位干部职工在野外活动中违反野外用火规定的，除依照上述规定处理外，还应按相关规定追究纪律责任。</w:t>
      </w:r>
    </w:p>
    <w:p w14:paraId="12C04F6D">
      <w:pPr>
        <w:widowControl/>
        <w:shd w:val="clear" w:color="auto" w:fill="FFFFFF"/>
        <w:spacing w:line="520" w:lineRule="exact"/>
        <w:ind w:firstLine="640"/>
        <w:rPr>
          <w:rFonts w:ascii="仿宋_GB2312" w:hAnsi="Calibri" w:eastAsia="仿宋_GB2312" w:cs="Calibri"/>
          <w:color w:val="333333"/>
          <w:kern w:val="0"/>
          <w:sz w:val="32"/>
          <w:szCs w:val="32"/>
        </w:rPr>
      </w:pPr>
      <w:r>
        <w:rPr>
          <w:rFonts w:hint="eastAsia" w:ascii="仿宋_GB2312" w:hAnsi="Calibri" w:eastAsia="仿宋_GB2312" w:cs="Calibri"/>
          <w:color w:val="333333"/>
          <w:kern w:val="0"/>
          <w:sz w:val="32"/>
          <w:szCs w:val="32"/>
        </w:rPr>
        <w:t>（七）</w:t>
      </w:r>
      <w:r>
        <w:rPr>
          <w:rFonts w:ascii="仿宋_GB2312" w:hAnsi="Calibri" w:eastAsia="仿宋_GB2312" w:cs="Calibri"/>
          <w:color w:val="333333"/>
          <w:kern w:val="0"/>
          <w:sz w:val="32"/>
          <w:szCs w:val="32"/>
        </w:rPr>
        <w:t>森林火灾报警电话：4512657</w:t>
      </w:r>
      <w:r>
        <w:rPr>
          <w:rFonts w:hint="eastAsia" w:ascii="仿宋_GB2312" w:hAnsi="Calibri" w:eastAsia="仿宋_GB2312" w:cs="Calibri"/>
          <w:color w:val="333333"/>
          <w:kern w:val="0"/>
          <w:sz w:val="32"/>
          <w:szCs w:val="32"/>
        </w:rPr>
        <w:t>、4513890或</w:t>
      </w:r>
      <w:r>
        <w:rPr>
          <w:rFonts w:ascii="仿宋_GB2312" w:hAnsi="Calibri" w:eastAsia="仿宋_GB2312" w:cs="Calibri"/>
          <w:color w:val="333333"/>
          <w:kern w:val="0"/>
          <w:sz w:val="32"/>
          <w:szCs w:val="32"/>
        </w:rPr>
        <w:t>110、</w:t>
      </w:r>
      <w:r>
        <w:rPr>
          <w:rFonts w:hint="eastAsia" w:ascii="仿宋_GB2312" w:hAnsi="Calibri" w:eastAsia="仿宋_GB2312" w:cs="Calibri"/>
          <w:color w:val="333333"/>
          <w:kern w:val="0"/>
          <w:sz w:val="32"/>
          <w:szCs w:val="32"/>
        </w:rPr>
        <w:t>119</w:t>
      </w:r>
      <w:r>
        <w:rPr>
          <w:rFonts w:ascii="仿宋_GB2312" w:hAnsi="Calibri" w:eastAsia="仿宋_GB2312" w:cs="Calibri"/>
          <w:color w:val="333333"/>
          <w:kern w:val="0"/>
          <w:sz w:val="32"/>
          <w:szCs w:val="32"/>
        </w:rPr>
        <w:t>。</w:t>
      </w:r>
    </w:p>
    <w:bookmarkEnd w:id="0"/>
    <w:p w14:paraId="76ADD9A0">
      <w:pPr>
        <w:widowControl/>
        <w:shd w:val="clear" w:color="auto" w:fill="FFFFFF"/>
        <w:spacing w:line="520" w:lineRule="exact"/>
        <w:ind w:firstLine="640"/>
        <w:rPr>
          <w:rFonts w:ascii="仿宋_GB2312" w:hAnsi="Calibri" w:eastAsia="仿宋_GB2312" w:cs="Calibri"/>
          <w:color w:val="333333"/>
          <w:kern w:val="0"/>
          <w:szCs w:val="21"/>
        </w:rPr>
      </w:pPr>
    </w:p>
    <w:bookmarkEnd w:id="1"/>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GI3NWQzNDAwMzEwYmQ5ZmI3YzIwNmUzZDE1MjEifQ=="/>
  </w:docVars>
  <w:rsids>
    <w:rsidRoot w:val="0034094F"/>
    <w:rsid w:val="00017AD8"/>
    <w:rsid w:val="0009178C"/>
    <w:rsid w:val="000A5149"/>
    <w:rsid w:val="001B76C5"/>
    <w:rsid w:val="00221F6C"/>
    <w:rsid w:val="0024167F"/>
    <w:rsid w:val="0034094F"/>
    <w:rsid w:val="004944BA"/>
    <w:rsid w:val="00654A2E"/>
    <w:rsid w:val="006C7BFC"/>
    <w:rsid w:val="009E63DC"/>
    <w:rsid w:val="00A35975"/>
    <w:rsid w:val="00A408CD"/>
    <w:rsid w:val="00EF66B7"/>
    <w:rsid w:val="13D07F0E"/>
    <w:rsid w:val="167F47A5"/>
    <w:rsid w:val="5926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15"/>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1204</Words>
  <Characters>1239</Characters>
  <Lines>9</Lines>
  <Paragraphs>2</Paragraphs>
  <TotalTime>55</TotalTime>
  <ScaleCrop>false</ScaleCrop>
  <LinksUpToDate>false</LinksUpToDate>
  <CharactersWithSpaces>1246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2023-09-15T07:11:00Z</dcterms:created>
  <dc:creator>方双龙</dc:creator>
  <cp:lastModifiedBy>沧海一声呵呵</cp:lastModifiedBy>
  <dcterms:modified xsi:type="dcterms:W3CDTF">2025-08-11T02:03:21Z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eyJoZGlkIjoiMmY5OTNkYzE0ZTEwN2E4MTJiNGYwODYxODhhZmQzODAiLCJ1c2VySWQiOiIxNzE3ODI4NzY3In0=</vt:lpwstr>
  </property>
  <property fmtid="{D5CDD505-2E9C-101B-9397-08002B2CF9AE}" pid="3" name="KSOProductBuildVer">
    <vt:lpwstr>2052-12.1.0.17857</vt:lpwstr>
  </property>
  <property fmtid="{D5CDD505-2E9C-101B-9397-08002B2CF9AE}" pid="4" name="ICV">
    <vt:lpwstr>CFA32D2179F64413B9D9301D1B506A02_13</vt:lpwstr>
  </property>
</Properties>
</file>