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BE1D">
      <w:pPr>
        <w:pStyle w:val="5"/>
        <w:shd w:val="clear" w:color="auto" w:fill="FFFFFF"/>
        <w:spacing w:line="560" w:lineRule="exact"/>
        <w:jc w:val="center"/>
        <w:rPr>
          <w:rFonts w:ascii="Times New Roman" w:hAnsi="Times New Roman" w:eastAsia="方正小标宋简体" w:cs="方正小标宋简体"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黄山市202</w:t>
      </w:r>
      <w:r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年国民经济和社会发展</w:t>
      </w:r>
    </w:p>
    <w:p w14:paraId="6E0858F1">
      <w:pPr>
        <w:pStyle w:val="5"/>
        <w:shd w:val="clear" w:color="auto" w:fill="FFFFFF"/>
        <w:spacing w:line="560" w:lineRule="exact"/>
        <w:jc w:val="center"/>
        <w:rPr>
          <w:rFonts w:ascii="Times New Roman" w:hAnsi="Times New Roman" w:eastAsia="方正小标宋_GBK" w:cs="方正小标宋简体"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统 计 公 报</w:t>
      </w:r>
      <w:r>
        <w:rPr>
          <w:rFonts w:hint="eastAsia" w:ascii="Times New Roman" w:hAnsi="Times New Roman" w:eastAsia="方正小标宋_GBK" w:cs="方正小标宋简体"/>
          <w:color w:val="000000"/>
          <w:sz w:val="44"/>
          <w:szCs w:val="44"/>
          <w:vertAlign w:val="superscript"/>
        </w:rPr>
        <w:t>[1]</w:t>
      </w:r>
    </w:p>
    <w:p w14:paraId="663EEAE9">
      <w:pPr>
        <w:pStyle w:val="6"/>
        <w:spacing w:before="156" w:beforeLines="50" w:after="0" w:line="560" w:lineRule="exact"/>
        <w:ind w:left="0" w:leftChars="0" w:firstLine="0" w:firstLineChars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黄山市统计局</w:t>
      </w:r>
    </w:p>
    <w:p w14:paraId="2F94038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7E794632">
      <w:pPr>
        <w:widowControl/>
        <w:spacing w:line="560" w:lineRule="exact"/>
        <w:ind w:firstLine="640" w:firstLineChars="200"/>
        <w:jc w:val="left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2025年，全市上下坚持以习近平新时代中国特色社会主义思想为指导，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全面贯彻党的二十大和二十届历次全会精神，深入落实习近平总书记考察安徽重要讲话精神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，按照党中央、国务院和省委、省政府决策部署，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坚持稳中求进工作总基调，坚定不移贯彻新发展理念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，统筹抓好稳增长、促转型、惠民生、防风险各项工作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全市经济稳中向好，高质量发展扎实推进，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社会大局和谐稳定，中国式现代化黄山篇章迈出新的坚实步伐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 w14:paraId="44D68312">
      <w:pPr>
        <w:pStyle w:val="2"/>
        <w:spacing w:line="560" w:lineRule="exact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一、综合</w:t>
      </w:r>
    </w:p>
    <w:p w14:paraId="0421A022">
      <w:pPr>
        <w:spacing w:line="560" w:lineRule="exact"/>
        <w:ind w:firstLine="640" w:firstLineChars="200"/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初步核算，全年实现地区生产总值（GDP）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[2]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1204.9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分产业看，第一产业增加值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85.6亿元，增长4.6%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；第二产业增加值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373.5亿元，增长5.3%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；第三产业增加值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745.8亿元，增长7.2%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[3]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。三次产业结构由上年的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7.3：32.2：60.5调整为7.1：31.0：61.9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 w14:paraId="44892590">
      <w:pPr>
        <w:jc w:val="center"/>
      </w:pPr>
    </w:p>
    <w:p w14:paraId="5569FB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  <w:r>
        <w:drawing>
          <wp:inline distT="0" distB="0" distL="114300" distR="114300">
            <wp:extent cx="5229225" cy="2781300"/>
            <wp:effectExtent l="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8A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3A378572">
      <w:pPr>
        <w:pStyle w:val="6"/>
        <w:ind w:left="0" w:leftChars="0" w:firstLine="0" w:firstLineChars="0"/>
      </w:pPr>
      <w:r>
        <w:drawing>
          <wp:inline distT="0" distB="0" distL="114300" distR="114300">
            <wp:extent cx="5219700" cy="277177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46C3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</w:pPr>
    </w:p>
    <w:p w14:paraId="044137B1">
      <w:pPr>
        <w:spacing w:line="560" w:lineRule="exact"/>
        <w:ind w:firstLine="656" w:firstLineChars="200"/>
        <w:rPr>
          <w:rFonts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全年城镇新增就业1.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万人，完成年度目标任务的1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%，下岗失业人员再就业1.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万人。</w:t>
      </w:r>
    </w:p>
    <w:p w14:paraId="256347B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全年居民消费价格（CPI）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/>
        </w:rPr>
        <w:t>比上年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，其中食品烟酒价格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</w:p>
    <w:p w14:paraId="5454CBF8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D204A52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tbl>
      <w:tblPr>
        <w:tblStyle w:val="7"/>
        <w:tblW w:w="7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3638"/>
      </w:tblGrid>
      <w:tr w14:paraId="6D79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Style w:val="9"/>
                <w:rFonts w:eastAsia="方正小标宋简体"/>
                <w:lang w:val="en-US" w:eastAsia="zh-CN" w:bidi="ar"/>
              </w:rPr>
              <w:t>1  202</w:t>
            </w:r>
            <w:r>
              <w:rPr>
                <w:rStyle w:val="9"/>
                <w:rFonts w:hint="default" w:eastAsia="方正小标宋简体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年全市居民消费价格比上年涨跌幅度</w:t>
            </w:r>
          </w:p>
        </w:tc>
      </w:tr>
      <w:tr w14:paraId="1995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40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51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6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63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比上年涨跌%</w:t>
            </w:r>
          </w:p>
        </w:tc>
      </w:tr>
      <w:tr w14:paraId="2281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0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居民消费价格总指数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F215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 w14:paraId="0DE0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其中：食品烟酒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6DE1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-0.6 </w:t>
            </w:r>
          </w:p>
        </w:tc>
      </w:tr>
      <w:tr w14:paraId="5CB7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B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衣着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D095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</w:tr>
      <w:tr w14:paraId="2009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1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居住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9E93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 </w:t>
            </w:r>
          </w:p>
        </w:tc>
      </w:tr>
      <w:tr w14:paraId="524C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3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生活用品及服务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CBA5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 w14:paraId="2064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4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交通和通信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4CC5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-2.9 </w:t>
            </w:r>
          </w:p>
        </w:tc>
      </w:tr>
      <w:tr w14:paraId="602D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5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教育文化和娱乐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918F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 </w:t>
            </w:r>
          </w:p>
        </w:tc>
      </w:tr>
      <w:tr w14:paraId="6BEC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9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医疗保健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ED6C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 </w:t>
            </w:r>
          </w:p>
        </w:tc>
      </w:tr>
      <w:tr w14:paraId="140B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1BD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其他用品和服务</w:t>
            </w:r>
          </w:p>
        </w:tc>
        <w:tc>
          <w:tcPr>
            <w:tcW w:w="3638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3928C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 </w:t>
            </w:r>
          </w:p>
        </w:tc>
      </w:tr>
    </w:tbl>
    <w:p w14:paraId="711B7293"/>
    <w:p w14:paraId="2BAFFB75">
      <w:r>
        <w:drawing>
          <wp:inline distT="0" distB="0" distL="114300" distR="114300">
            <wp:extent cx="5269230" cy="2634615"/>
            <wp:effectExtent l="0" t="0" r="762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19E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A22BCD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全年新登记经营主体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1.72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万户，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日均新登记经营主体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，年末</w:t>
      </w:r>
      <w:r>
        <w:rPr>
          <w:rFonts w:hint="eastAsia" w:ascii="Times New Roman" w:hAnsi="Times New Roman" w:eastAsia="仿宋_GB2312" w:cs="仿宋_GB2312"/>
          <w:spacing w:val="4"/>
          <w:sz w:val="32"/>
          <w:szCs w:val="32"/>
        </w:rPr>
        <w:t>在册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经营主体总数达1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万户。</w:t>
      </w:r>
    </w:p>
    <w:p w14:paraId="630416FB">
      <w:pPr>
        <w:pStyle w:val="2"/>
        <w:spacing w:line="560" w:lineRule="exact"/>
        <w:jc w:val="center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二、农业</w:t>
      </w:r>
    </w:p>
    <w:p w14:paraId="3688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全年粮食作物播种面积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77.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万亩，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0.3%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；粮食产量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茶叶产量3.8万吨，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3.9%。林产品产量9.3万吨，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10.7%。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生猪出栏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75.4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万头，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猪牛羊禽肉产量7.7万吨，增长3.3%，其中猪肉产量6.5万吨，增长3.3%。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淡水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产品产量1.5万吨，增长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%。</w:t>
      </w:r>
    </w:p>
    <w:p w14:paraId="116C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年末全市农业机械总动力91.7万千瓦，比上年末增长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%。机耕作业面积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，机播作业面积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55.7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，机收作业面积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86.0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。主要农作物耕种收综合机械化率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提高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个百分点。节水灌溉面积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累计建成高标准农田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.3万亩，其中202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年新建、改造提升高标准农田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00E8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年末全市规模以上农产品加工企业13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家，全年农产品加工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。省级以上农业产业化龙头企业48家，其中国家级5家。新发展家庭农场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家、达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2719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全市农村集体经济经营性收入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亿元，村均收入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102.2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万元。新增省级中心村55个，总数达637个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新增省级精品示范村16个，总数达64个。</w:t>
      </w:r>
    </w:p>
    <w:p w14:paraId="75772542">
      <w:pPr>
        <w:pStyle w:val="2"/>
        <w:spacing w:line="560" w:lineRule="exact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三、工业和建筑业</w:t>
      </w:r>
    </w:p>
    <w:p w14:paraId="43269722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全年全部工业增加值256.7亿元，比上年增长7.6%，其中规模以上工业增加值增长9.5%。规模以上工业中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，分经济类型看，国有控股企业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增加值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股份制企业增长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10.7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外商及港澳台商投资企业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分门类看，采矿业增加值增长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15.9%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，制造业增长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9.9%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，电力、热力、燃气及水生产和供应业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1.8%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分行业看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，全市32个工业大类行业有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个增加值保持增长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其中，酒、饮料及精制茶制造业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46.3%，汽车制造业增长31.2%，电气机械和器材制造业增长11.5%。</w:t>
      </w:r>
    </w:p>
    <w:p w14:paraId="213E4C26">
      <w:pPr>
        <w:pStyle w:val="6"/>
        <w:ind w:left="0" w:leftChars="0" w:firstLine="0" w:firstLineChars="0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drawing>
          <wp:inline distT="0" distB="0" distL="114300" distR="114300">
            <wp:extent cx="5219700" cy="264795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9F0E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FF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全年装备制造业增加值增长</w:t>
      </w:r>
      <w:r>
        <w:rPr>
          <w:rFonts w:hint="default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12.0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%，占规模以上工业增加值比重为3</w:t>
      </w:r>
      <w:r>
        <w:rPr>
          <w:rFonts w:hint="default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8.2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高技术制造业增加值增长6.7%，占规模以上工业增加值比重为8.0%。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战略性新兴产业产值增长</w:t>
      </w:r>
      <w:r>
        <w:rPr>
          <w:rFonts w:hint="default" w:ascii="Times New Roman" w:hAnsi="Times New Roman" w:eastAsia="仿宋_GB2312" w:cs="仿宋_GB2312"/>
          <w:color w:val="000000"/>
          <w:spacing w:val="6"/>
          <w:sz w:val="32"/>
          <w:szCs w:val="32"/>
          <w:lang w:val="en-US"/>
        </w:rPr>
        <w:t>5.7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%，占规模以上工业总产值比重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41.3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</w:t>
      </w:r>
    </w:p>
    <w:p w14:paraId="7F93D6EC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规模以上工业统计的主要产品中，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涂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料产量增长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31.5%，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塑料制品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产量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26.3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%，液压元件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产量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24.6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金属门窗及类似制品产量增长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15.6%，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铅酸蓄电池产量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9.1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</w:t>
      </w:r>
    </w:p>
    <w:p w14:paraId="466AF364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全年规模以上工业企业累计完成营业收入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701.9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7.8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%；实现利润总额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39.6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10.6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其中：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化学原料和化学制品制造业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印刷和记录媒介复制业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汽车制造业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通用设备制造业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酒、饮料和精制茶制造业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橡胶和塑料制品业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专用设备制造业、金属制品业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个行业利润超亿元。全年规模以上工业企业每百元营业收入中的成本为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元，比上年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0.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元；营业收入利润率为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5.64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%，提高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0.14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个百分点。</w:t>
      </w:r>
    </w:p>
    <w:p w14:paraId="5B3C4A05">
      <w:pPr>
        <w:spacing w:line="560" w:lineRule="exact"/>
        <w:ind w:firstLine="664" w:firstLineChars="200"/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全年建筑业增加值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117.1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%。全年房屋建筑施工面积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410.3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万平方米，比上年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101.1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万平方米；房屋竣工面积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220.8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万平方米，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74.4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万平方米。</w:t>
      </w:r>
    </w:p>
    <w:p w14:paraId="4D67F89B">
      <w:pPr>
        <w:pStyle w:val="2"/>
        <w:spacing w:line="560" w:lineRule="exact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四、服务业</w:t>
      </w:r>
    </w:p>
    <w:p w14:paraId="752BDAB5">
      <w:pPr>
        <w:spacing w:line="560" w:lineRule="exact"/>
        <w:ind w:firstLine="656" w:firstLineChars="200"/>
        <w:rPr>
          <w:rFonts w:ascii="Times New Roman" w:hAnsi="Times New Roman" w:eastAsia="仿宋_GB2312" w:cs="仿宋_GB2312"/>
          <w:color w:val="000000"/>
          <w:spacing w:val="4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全年批发和零售业增加值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147.1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7.1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%；交通运输、仓储和邮政业增加值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72.1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%；住宿和餐饮业增加值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%；金融业增加值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55.5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8.0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%；房地产业增加值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69.5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%；其他服务业增加值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359.3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9.0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highlight w:val="none"/>
        </w:rPr>
        <w:t>。</w:t>
      </w:r>
    </w:p>
    <w:p w14:paraId="39149C97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全年各类运输方式完成货运总量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3129.5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万吨，比上年增长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%。其中，公路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3105</w:t>
      </w:r>
      <w:r>
        <w:rPr>
          <w:rFonts w:hint="default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万吨，增长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%；铁路</w:t>
      </w:r>
      <w:r>
        <w:rPr>
          <w:rFonts w:hint="default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/>
        </w:rPr>
        <w:t>24.4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增长0.1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%；民航货邮吞吐量0.1万吨，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8.1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%。完成旅客运输总量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2555.7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万人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，比上年增长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10.3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%。其中，公路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1612</w:t>
      </w:r>
      <w:r>
        <w:rPr>
          <w:rFonts w:hint="default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.0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万人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，增长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；铁路（含高铁）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796.2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万人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，增长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22.0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；水运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115.8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万人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增长0.9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%；民航旅客吞吐量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31.8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万人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24.8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%。</w:t>
      </w:r>
    </w:p>
    <w:p w14:paraId="4F871593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p w14:paraId="55D6E767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p w14:paraId="077F7E05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p w14:paraId="4E3688BD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p w14:paraId="75A8602D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p w14:paraId="40004CAE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</w:pPr>
    </w:p>
    <w:tbl>
      <w:tblPr>
        <w:tblStyle w:val="7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15"/>
        <w:gridCol w:w="915"/>
        <w:gridCol w:w="915"/>
        <w:gridCol w:w="1439"/>
        <w:gridCol w:w="915"/>
        <w:gridCol w:w="931"/>
        <w:gridCol w:w="915"/>
      </w:tblGrid>
      <w:tr w14:paraId="33ED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364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051111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表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color w:val="auto"/>
                <w:lang w:bidi="ar"/>
              </w:rPr>
              <w:t xml:space="preserve">2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各种运输方式完成货物运输量和旅客运输量</w:t>
            </w:r>
          </w:p>
        </w:tc>
      </w:tr>
      <w:tr w14:paraId="0A72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9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3387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指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标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7AC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单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位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03C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绝对数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9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比上年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增长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>（%）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3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指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标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35C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单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位</w:t>
            </w:r>
          </w:p>
        </w:tc>
        <w:tc>
          <w:tcPr>
            <w:tcW w:w="9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7D7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绝对数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D33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比上年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增长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>（%）</w:t>
            </w:r>
          </w:p>
        </w:tc>
      </w:tr>
      <w:tr w14:paraId="1A9C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33226F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94A03F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8DFDCD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EF74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F598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B08E46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83416A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5726AA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 w14:paraId="6732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FA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货物运输量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D282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万吨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4111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3129.5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2B9B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759F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旅客运输量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5ABB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次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AD08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2555.7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1397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 </w:t>
            </w:r>
          </w:p>
        </w:tc>
      </w:tr>
      <w:tr w14:paraId="2B3B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5D1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铁路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BC70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万吨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6234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A2A9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9A1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铁路(含高铁)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1E72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次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300F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796.2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AE19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 </w:t>
            </w:r>
          </w:p>
        </w:tc>
      </w:tr>
      <w:tr w14:paraId="2B9F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71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公路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664D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万吨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0E9E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3105.0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8118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31B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公路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D74F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次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C103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1612.0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3C19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 </w:t>
            </w:r>
          </w:p>
        </w:tc>
      </w:tr>
      <w:tr w14:paraId="26C8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891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水运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6397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万吨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BC4C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2B1F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0D6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水运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51BE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次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DD3E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115.8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968A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 </w:t>
            </w:r>
          </w:p>
        </w:tc>
      </w:tr>
      <w:tr w14:paraId="6CC7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F4B3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民航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EBA9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万吨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343D9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521AC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ABD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民航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B8BB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万人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次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717BD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31.8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11550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-24.8 </w:t>
            </w:r>
          </w:p>
        </w:tc>
      </w:tr>
    </w:tbl>
    <w:p w14:paraId="53116AEE">
      <w:pPr>
        <w:spacing w:line="560" w:lineRule="exact"/>
        <w:ind w:firstLine="656" w:firstLineChars="200"/>
        <w:rPr>
          <w:rFonts w:ascii="Times New Roman" w:hAnsi="Times New Roman" w:eastAsia="仿宋_GB2312" w:cs="仿宋_GB2312"/>
          <w:color w:val="auto"/>
          <w:spacing w:val="4"/>
          <w:sz w:val="32"/>
          <w:szCs w:val="32"/>
          <w:highlight w:val="none"/>
        </w:rPr>
      </w:pPr>
    </w:p>
    <w:p w14:paraId="76DC955B">
      <w:pPr>
        <w:spacing w:line="560" w:lineRule="exact"/>
        <w:ind w:firstLine="656" w:firstLineChars="200"/>
        <w:rPr>
          <w:rFonts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年末全市民用汽车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保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有量2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7.35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万辆，比上年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2.6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%，其中私人汽车2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5.14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民用新能源汽车保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有量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2.55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47.1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其中私人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汽车2.28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50.4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%。民用轿车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保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有量1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6.3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%，其中私人轿车1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5.69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万辆，增长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1.6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%。年末全市公路线路里程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7778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公里，其中高速公路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451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公里。</w:t>
      </w:r>
    </w:p>
    <w:p w14:paraId="5EF073B0">
      <w:pPr>
        <w:spacing w:line="560" w:lineRule="exact"/>
        <w:ind w:firstLine="656" w:firstLineChars="200"/>
        <w:rPr>
          <w:rFonts w:hint="default" w:ascii="Times New Roman" w:hAnsi="Times New Roman" w:eastAsia="仿宋_GB2312" w:cs="仿宋_GB2312"/>
          <w:color w:val="000000"/>
          <w:spacing w:val="4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全年邮政行业业务总量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14.5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17.8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%。快递业务量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1.49亿件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，快递业务收入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6.27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亿元，分别增长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19.9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4.8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%。电信业务总量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[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]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1</w:t>
      </w:r>
      <w:r>
        <w:rPr>
          <w:rFonts w:ascii="Times New Roman" w:hAnsi="Times New Roman" w:eastAsia="仿宋_GB2312" w:cs="仿宋_GB2312"/>
          <w:color w:val="000000"/>
          <w:spacing w:val="4"/>
          <w:sz w:val="32"/>
          <w:szCs w:val="32"/>
          <w:lang w:val="en"/>
        </w:rPr>
        <w:t>5.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10.4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%。年末本地固定电话用户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17.31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万户，比上年末减少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万户；移动电话用户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155.58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减少1.68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万户，其中5G移动电话用户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99.52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增加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12.76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万户。固定互联网宽带接入用户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82.52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万户，比上年末增加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万户，其中固定互联网光纤宽带接入用户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81.93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万户，增加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1.05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万户。</w:t>
      </w:r>
    </w:p>
    <w:p w14:paraId="5DC5EED0">
      <w:pPr>
        <w:spacing w:line="560" w:lineRule="exact"/>
        <w:ind w:firstLine="656" w:firstLineChars="200"/>
        <w:rPr>
          <w:rFonts w:hint="default" w:ascii="Times New Roman" w:hAnsi="Times New Roman" w:eastAsia="仿宋_GB2312" w:cs="仿宋_GB2312"/>
          <w:color w:val="000000"/>
          <w:spacing w:val="4"/>
          <w:sz w:val="32"/>
          <w:szCs w:val="32"/>
          <w:lang w:val="en-US"/>
        </w:rPr>
      </w:pPr>
    </w:p>
    <w:p w14:paraId="0C7043EE">
      <w:pPr>
        <w:pStyle w:val="2"/>
        <w:spacing w:line="560" w:lineRule="exact"/>
        <w:jc w:val="center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五、固定资产投资</w:t>
      </w:r>
    </w:p>
    <w:p w14:paraId="46B81B03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全年固定资产投资比上年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下降3.5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扣除房地产开发投资，固定资产投资下降0.4%。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其中，工业投资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下降1.9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%，民间投资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下降1.2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基础设施投资下降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1.6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%。分产业看，第一产业投资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18.5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%，第二产业投资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下降1.9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%，第三产业投资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下降5.0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</w:t>
      </w:r>
    </w:p>
    <w:p w14:paraId="1A2659E6">
      <w:pPr>
        <w:jc w:val="center"/>
        <w:rPr>
          <w:rFonts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drawing>
          <wp:inline distT="0" distB="0" distL="114300" distR="114300">
            <wp:extent cx="5200650" cy="264795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BFF7"/>
    <w:p w14:paraId="7FEF5671">
      <w:pPr>
        <w:pStyle w:val="6"/>
        <w:ind w:left="0" w:leftChars="0" w:firstLine="0" w:firstLineChars="0"/>
        <w:jc w:val="center"/>
      </w:pPr>
      <w:r>
        <w:drawing>
          <wp:inline distT="0" distB="0" distL="114300" distR="114300">
            <wp:extent cx="5229225" cy="2647950"/>
            <wp:effectExtent l="0" t="0" r="9525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F9351">
      <w:pPr>
        <w:pStyle w:val="6"/>
        <w:ind w:left="0" w:leftChars="0" w:firstLine="0" w:firstLineChars="0"/>
        <w:jc w:val="center"/>
      </w:pPr>
    </w:p>
    <w:tbl>
      <w:tblPr>
        <w:tblStyle w:val="7"/>
        <w:tblW w:w="6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2334"/>
      </w:tblGrid>
      <w:tr w14:paraId="18F4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58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26DDF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表3  202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年全市分行业固定资产投资增速</w:t>
            </w:r>
          </w:p>
        </w:tc>
      </w:tr>
      <w:tr w14:paraId="4DE6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DEEF8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</w:t>
            </w:r>
            <w:r>
              <w:rPr>
                <w:rStyle w:val="9"/>
                <w:rFonts w:eastAsia="等线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6F9CEE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比上年增长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</w:tr>
      <w:tr w14:paraId="32B7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5634D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农、林、牧、渔业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8001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37E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6589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采矿业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CDC7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157.7 </w:t>
            </w:r>
          </w:p>
        </w:tc>
      </w:tr>
      <w:tr w14:paraId="490F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10F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制造业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3FCA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-7.2 </w:t>
            </w:r>
          </w:p>
        </w:tc>
      </w:tr>
      <w:tr w14:paraId="549E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0360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电力、热力、燃气及水生产和供应业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A682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 </w:t>
            </w:r>
          </w:p>
        </w:tc>
      </w:tr>
      <w:tr w14:paraId="2FFC4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22712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200F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9C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050BC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批发和零售业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4E8F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-24.7 </w:t>
            </w:r>
          </w:p>
        </w:tc>
      </w:tr>
      <w:tr w14:paraId="14B6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8E156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交通运输、仓储和邮政业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6B3F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 </w:t>
            </w:r>
          </w:p>
        </w:tc>
      </w:tr>
      <w:tr w14:paraId="1F6A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652BF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住宿和餐饮业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7C0D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 </w:t>
            </w:r>
          </w:p>
        </w:tc>
      </w:tr>
      <w:tr w14:paraId="0B80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9B77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信息传输、软件和信息技术服务业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9834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 </w:t>
            </w:r>
          </w:p>
        </w:tc>
      </w:tr>
      <w:tr w14:paraId="7D35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F2D83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金融业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3350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-82.0 </w:t>
            </w:r>
          </w:p>
        </w:tc>
      </w:tr>
      <w:tr w14:paraId="7C87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27083">
            <w:pPr>
              <w:widowControl/>
              <w:ind w:firstLine="220" w:firstLineChars="100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房地产业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superscript"/>
              </w:rPr>
              <w:t>[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70AE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-20.3 </w:t>
            </w:r>
          </w:p>
        </w:tc>
      </w:tr>
      <w:tr w14:paraId="4BE8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A2B2C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租赁和商务服务业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009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-53.8 </w:t>
            </w:r>
          </w:p>
        </w:tc>
      </w:tr>
      <w:tr w14:paraId="3E9CE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0068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科学研究和技术服务业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4196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 </w:t>
            </w:r>
          </w:p>
        </w:tc>
      </w:tr>
      <w:tr w14:paraId="7F34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50135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水利、环境和公共设施管理业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DBC3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-15.1 </w:t>
            </w:r>
          </w:p>
        </w:tc>
      </w:tr>
      <w:tr w14:paraId="0901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C0D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居民服务、修理和其他服务业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E55F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-32.1 </w:t>
            </w:r>
          </w:p>
        </w:tc>
      </w:tr>
      <w:tr w14:paraId="0211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66F0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BF18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-39.9 </w:t>
            </w:r>
          </w:p>
        </w:tc>
      </w:tr>
      <w:tr w14:paraId="6AD2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1A11A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卫生和社会工作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38DF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 </w:t>
            </w:r>
          </w:p>
        </w:tc>
      </w:tr>
      <w:tr w14:paraId="1107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32E1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文化、体育和娱乐业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9800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 </w:t>
            </w:r>
          </w:p>
        </w:tc>
      </w:tr>
      <w:tr w14:paraId="0D2C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1CE70BF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公共管理、社会保障和社会组织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 w14:paraId="505D4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 </w:t>
            </w:r>
          </w:p>
        </w:tc>
      </w:tr>
    </w:tbl>
    <w:p w14:paraId="3A643D1C">
      <w:pPr>
        <w:spacing w:line="560" w:lineRule="exact"/>
        <w:ind w:firstLine="664" w:firstLineChars="200"/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</w:pPr>
    </w:p>
    <w:p w14:paraId="17B765D7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全年房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地产开发投资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比上年下降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18.5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%。商品房销售面积下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降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8.3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%。商品房销售额下降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18.1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%。年末商品房待售面积增长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9.4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%。</w:t>
      </w:r>
    </w:p>
    <w:p w14:paraId="1513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全年开工市重点项目203个、竣工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个。安徽新安江流域防洪治理工程、特种树脂及其衍生新材料、中广核茶光互补、歙县盛龙装饰、瑞兴汽车零部件、光洋精密零部件等项目开工建设，新能源汽车关键零部件研发和制造、徽州区智慧城市停车场及配套基础设施提升工程、汽车装备智能制造产业园、东大门综合服务中心、黄山炎培职业学校高新校区建设、G530阳湖里至庄里段改建工程等项目实现竣工。</w:t>
      </w:r>
    </w:p>
    <w:p w14:paraId="4CC57953">
      <w:pPr>
        <w:pStyle w:val="2"/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 w:val="0"/>
        </w:rPr>
        <w:t>六、国内贸易</w:t>
      </w:r>
    </w:p>
    <w:p w14:paraId="4FE858E8">
      <w:pPr>
        <w:spacing w:line="560" w:lineRule="exact"/>
        <w:ind w:firstLine="664" w:firstLineChars="200"/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全年社会消费品零售总额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[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vertAlign w:val="superscript"/>
        </w:rPr>
        <w:t>]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568.1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3.9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%。限额以上消费品零售额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2.2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通过公共网络实现的商品销售额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val="en-US" w:eastAsia="zh-CN"/>
        </w:rPr>
        <w:t>9.5%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。</w:t>
      </w:r>
    </w:p>
    <w:p w14:paraId="22E45385">
      <w:pPr>
        <w:spacing w:line="560" w:lineRule="exact"/>
        <w:ind w:firstLine="664" w:firstLineChars="200"/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24D3ECED">
      <w:pPr>
        <w:jc w:val="both"/>
        <w:rPr>
          <w:rFonts w:ascii="Times New Roman" w:hAnsi="Times New Roman" w:eastAsia="仿宋" w:cs="Times New Roman"/>
          <w:color w:val="000000"/>
          <w:spacing w:val="4"/>
          <w:sz w:val="32"/>
          <w:szCs w:val="32"/>
        </w:rPr>
      </w:pPr>
      <w:r>
        <w:drawing>
          <wp:inline distT="0" distB="0" distL="114300" distR="114300">
            <wp:extent cx="5272405" cy="2664460"/>
            <wp:effectExtent l="0" t="0" r="4445" b="254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CA46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限额以上单位商品零售额中，粮油食品类增长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16.4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饮料类增长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2.5%，金银珠宝类增长34.4%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，中西药品类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，通讯器材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53.1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%，石油及制品类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22.3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%，汽车类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4.4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烟酒类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10.3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%，服装、鞋帽、针纺织品类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%，家用电器和音像器材类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  <w:lang w:val="en-US" w:eastAsia="zh-CN"/>
        </w:rPr>
        <w:t>13.4</w:t>
      </w:r>
      <w:r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  <w:t>%。</w:t>
      </w:r>
    </w:p>
    <w:p w14:paraId="01028AC6">
      <w:pPr>
        <w:spacing w:line="560" w:lineRule="exact"/>
        <w:ind w:firstLine="664" w:firstLineChars="200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网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零售额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vertAlign w:val="superscript"/>
        </w:rPr>
        <w:t>[</w:t>
      </w:r>
      <w:r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vertAlign w:val="superscript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vertAlign w:val="superscript"/>
        </w:rPr>
        <w:t>]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累计完成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82.4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比上年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13.8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</w:rPr>
        <w:t>其中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实物商品网上零售额47.0亿元，增长5.6%，占社会消费品零售总额的比重为8.3%。</w:t>
      </w:r>
    </w:p>
    <w:p w14:paraId="08382EEC">
      <w:pPr>
        <w:spacing w:line="560" w:lineRule="exact"/>
        <w:ind w:firstLine="656" w:firstLineChars="200"/>
        <w:rPr>
          <w:rFonts w:hint="eastAsia" w:ascii="Times New Roman" w:hAnsi="Times New Roman" w:eastAsia="仿宋_GB2312" w:cs="仿宋_GB2312"/>
          <w:color w:val="000000"/>
          <w:spacing w:val="4"/>
          <w:sz w:val="32"/>
          <w:szCs w:val="32"/>
        </w:rPr>
      </w:pPr>
    </w:p>
    <w:p w14:paraId="7FD985E8">
      <w:pPr>
        <w:pStyle w:val="2"/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 w:val="0"/>
        </w:rPr>
        <w:t>七、对外经济</w:t>
      </w:r>
    </w:p>
    <w:p w14:paraId="2E0F7B02">
      <w:pPr>
        <w:spacing w:line="560" w:lineRule="exact"/>
        <w:ind w:firstLine="664" w:firstLineChars="200"/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全年进出口总额12.</w:t>
      </w:r>
      <w:r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亿美元，比上年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%。其中，出口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11.47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亿美元，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3.4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%；进口1.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亿美元，下降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24.3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%。从贸易方式看，一般贸易进出口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12.34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亿美元，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1.7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%；加工贸易进出口0.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亿美元，下降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45.9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%。从贸易区域看，对非洲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、拉丁美洲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、欧洲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进出口分别增长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17.6%、13.9%、1.9%；对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亚洲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、北美洲、大洋洲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分别下降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6.2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%、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12.3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14.3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</w:rPr>
        <w:t>%。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从出口商品看，塑料橡胶制品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3.01亿美元，增长14.8%；植物产品2.24亿美元，增长14.9%；机器、电气设备、录音机等1.71亿美元，增长10.2%；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eastAsia="zh-CN"/>
        </w:rPr>
        <w:t>化学工业品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lang w:val="en-US" w:eastAsia="zh-CN"/>
        </w:rPr>
        <w:t>1.79亿美元，下降1.3%。</w:t>
      </w:r>
    </w:p>
    <w:p w14:paraId="0B36656B">
      <w:pPr>
        <w:spacing w:line="560" w:lineRule="exact"/>
        <w:ind w:firstLine="664" w:firstLineChars="200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</w:p>
    <w:p w14:paraId="4D05A750">
      <w:pPr>
        <w:jc w:val="center"/>
        <w:rPr>
          <w:rFonts w:ascii="Times New Roman" w:hAnsi="Times New Roman" w:eastAsia="仿宋" w:cs="Times New Roman"/>
          <w:color w:val="FF0000"/>
          <w:spacing w:val="4"/>
          <w:sz w:val="32"/>
          <w:szCs w:val="32"/>
        </w:rPr>
      </w:pPr>
      <w:r>
        <w:drawing>
          <wp:inline distT="0" distB="0" distL="114300" distR="114300">
            <wp:extent cx="5272405" cy="2926080"/>
            <wp:effectExtent l="0" t="0" r="4445" b="762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9256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p w14:paraId="74DD6E3C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全年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新签亿元以上项目215个，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协议投资额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390.4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亿元。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亿元以上在建省外投资项目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263个，实际到位省外资金313.9亿元。农夫山泉茶饮线、光洋股份精密轴承项目开工建设，博泰车联网智能座舱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" w:eastAsia="zh-CN"/>
        </w:rPr>
        <w:t>生产基地、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中国绿发新能源、安徽建工食品科技园、奥飞亲子乐园等项目签约落地。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全年新批外商投资项目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实际使用外商直接投资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9107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14.6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。</w:t>
      </w:r>
    </w:p>
    <w:p w14:paraId="5C820D00">
      <w:pPr>
        <w:pStyle w:val="2"/>
        <w:spacing w:line="560" w:lineRule="exact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八、财政金融</w:t>
      </w:r>
    </w:p>
    <w:p w14:paraId="62FF49E2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FF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全年一般公共预算收入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87.7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3.0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%。全市一般公共预算支出完成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242.5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1.6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%，其中民生支出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197.1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亿元，占一般公共预算支出的比重为8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%。从重点支出项目看，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一般公共服务、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教育、社会保障和就业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住房保障等重点领域支出分别增长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2.7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5.2%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4.6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%。全年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“30+1”项民生实事完成投资15.74亿元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。</w:t>
      </w:r>
    </w:p>
    <w:p w14:paraId="10F1AF8C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p w14:paraId="40B610F0">
      <w:pP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drawing>
          <wp:inline distT="0" distB="0" distL="114300" distR="114300">
            <wp:extent cx="5219700" cy="2647950"/>
            <wp:effectExtent l="0" t="0" r="0" b="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2563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p w14:paraId="6EF85EC9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年末金融机构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人民币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各项存款余额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2345.2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亿元，比上年末增长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6.6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%。其中，住户存款余额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1790.2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10.4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%。年末金融机构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人民币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各项贷款余额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1819.1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8.4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%。其中，境内短期贷款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555.8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亿元，下降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%；境内中长期贷款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1117.0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11.4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</w:t>
      </w:r>
    </w:p>
    <w:p w14:paraId="3D2030BD">
      <w:pPr>
        <w:spacing w:line="560" w:lineRule="exact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tbl>
      <w:tblPr>
        <w:tblStyle w:val="7"/>
        <w:tblW w:w="7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4"/>
        <w:gridCol w:w="1860"/>
        <w:gridCol w:w="2196"/>
      </w:tblGrid>
      <w:tr w14:paraId="30EE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840" w:type="dxa"/>
            <w:gridSpan w:val="3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61A980AC">
            <w:pPr>
              <w:spacing w:line="48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表4  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年末金融机构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人民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币存贷款余额及其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增速</w:t>
            </w:r>
          </w:p>
        </w:tc>
      </w:tr>
      <w:tr w14:paraId="0599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8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15BD777A">
            <w:pPr>
              <w:jc w:val="center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>指         标</w:t>
            </w:r>
          </w:p>
        </w:tc>
        <w:tc>
          <w:tcPr>
            <w:tcW w:w="18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F00C3">
            <w:pPr>
              <w:jc w:val="center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>年末数（亿元）</w:t>
            </w:r>
          </w:p>
        </w:tc>
        <w:tc>
          <w:tcPr>
            <w:tcW w:w="219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0B0E3E59">
            <w:pPr>
              <w:jc w:val="center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>比上年末增长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（%）</w:t>
            </w:r>
          </w:p>
        </w:tc>
      </w:tr>
      <w:tr w14:paraId="779B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8D37F7E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各项存款余额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E6F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2345.2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73D3E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47D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A53275B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其中：住户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4F517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1790.2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00A9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</w:tr>
      <w:tr w14:paraId="6942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C5CD5B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非金融企业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14B27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302.6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5531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-2.7 </w:t>
            </w:r>
          </w:p>
        </w:tc>
      </w:tr>
      <w:tr w14:paraId="3017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F093929">
            <w:pPr>
              <w:jc w:val="left"/>
              <w:rPr>
                <w:rFonts w:hint="eastAsia" w:ascii="Times New Roman" w:hAnsi="Times New Roman" w:eastAsia="宋体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机关团体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7793E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221.0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4F47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 </w:t>
            </w:r>
          </w:p>
        </w:tc>
      </w:tr>
      <w:tr w14:paraId="7A83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0000D4C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各项贷款余额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49D0F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1819.1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D75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1D8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42F93A6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其中：住户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52CE1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641.2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AD7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-2.2 </w:t>
            </w:r>
          </w:p>
        </w:tc>
      </w:tr>
      <w:tr w14:paraId="3996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90948D6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  <w:t xml:space="preserve"> 企（事）业单位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0FEC1C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D87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 </w:t>
            </w:r>
          </w:p>
        </w:tc>
      </w:tr>
      <w:tr w14:paraId="1E77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527970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其中：境内短期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665798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555.8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14E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 </w:t>
            </w:r>
          </w:p>
        </w:tc>
      </w:tr>
      <w:tr w14:paraId="1E9F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84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51AE493E">
            <w:pPr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2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境内中长期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 w14:paraId="362E4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1117.0 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bottom"/>
          </w:tcPr>
          <w:p w14:paraId="747DFB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 </w:t>
            </w:r>
          </w:p>
        </w:tc>
      </w:tr>
    </w:tbl>
    <w:p w14:paraId="3269D025"/>
    <w:p w14:paraId="73585540">
      <w:r>
        <w:drawing>
          <wp:inline distT="0" distB="0" distL="114300" distR="114300">
            <wp:extent cx="5272405" cy="2531745"/>
            <wp:effectExtent l="0" t="0" r="4445" b="190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E7F11">
      <w:pPr>
        <w:spacing w:line="560" w:lineRule="exact"/>
        <w:ind w:firstLine="656" w:firstLineChars="200"/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全年保险业原保费收入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%。赔款和给付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/>
        </w:rPr>
        <w:t>19.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93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%。</w:t>
      </w:r>
    </w:p>
    <w:p w14:paraId="4C462943">
      <w:pPr>
        <w:spacing w:line="560" w:lineRule="exact"/>
        <w:ind w:firstLine="656" w:firstLineChars="200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</w:pPr>
    </w:p>
    <w:p w14:paraId="5CBDDF48">
      <w:pPr>
        <w:pStyle w:val="2"/>
        <w:spacing w:before="312" w:after="93" w:line="560" w:lineRule="exact"/>
      </w:pPr>
      <w:r>
        <w:rPr>
          <w:rFonts w:hint="eastAsia" w:ascii="Times New Roman" w:hAnsi="Times New Roman"/>
          <w:b w:val="0"/>
          <w:bCs w:val="0"/>
        </w:rPr>
        <w:t>九、人民生活和社会保障</w:t>
      </w:r>
    </w:p>
    <w:p w14:paraId="4FE11064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全年全市常住居民人均可支配收入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39114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元，比上年增长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6.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人均消费支出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24486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元，比上年增长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3.9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%。恩格尔系数为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30.8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</w:t>
      </w:r>
    </w:p>
    <w:p w14:paraId="011260BD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按常住地分，城镇居民人均可支配收入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50221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元，比上年增长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5.2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人均消费支出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2877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.9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%。城镇居民恩格尔系数为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30.5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%。农村居民人均可支配收入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6689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元，比上年增长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6.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人均消费支出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19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688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元，增长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3.0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%。农村居民恩格尔系数为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31.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</w:t>
      </w:r>
    </w:p>
    <w:p w14:paraId="691EBFDA">
      <w:pPr>
        <w:jc w:val="center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drawing>
          <wp:inline distT="0" distB="0" distL="114300" distR="114300">
            <wp:extent cx="5219700" cy="3352800"/>
            <wp:effectExtent l="0" t="0" r="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1AB1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年末全市参加城镇职工养老保险人数为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40.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万人。参加城乡居民基本养老保险人数为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72.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万人。参加失业保险人数为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16.13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万人，全年为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5239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名失业人员发放了不同期限的失业保险金。参加工伤保险人数为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19.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万人，其中参加工伤保险的农民工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7.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71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万人。参加生育保险人数为1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9.31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万人。参加基本医疗保险人数为13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1.69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万人，其中，参加职工基本医疗保险人数2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8.61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万人，参加城乡居民基本医疗保险人数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10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3.07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万人。</w:t>
      </w:r>
    </w:p>
    <w:p w14:paraId="40B6CB96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年末全市有各类提供住宿的社会服务机构6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个，床位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51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张，收养救助人员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907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年末0.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万城镇居民得到政府最低生活保障，发放最低生活保障金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239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万元；2.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万农村居民得到政府最低生活保障，发放最低生活保障金14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071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万元；农村居民得到政府五保救济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9359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人，全年民政部门临时救助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998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人次。全年销售社会福利彩票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21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525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万元，筹集社会福利资金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445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万元。</w:t>
      </w:r>
    </w:p>
    <w:p w14:paraId="424CEA4F">
      <w:pPr>
        <w:pStyle w:val="2"/>
        <w:spacing w:line="560" w:lineRule="exact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</w:rPr>
        <w:t>十、教育和科学技术</w:t>
      </w:r>
    </w:p>
    <w:p w14:paraId="170E15A0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年末全市有普通高校3所，普通本专科在校生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29791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人。各类中等职业教育（不含技工学校）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所，在校生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11508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人。普通高中20所，在校生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/>
        </w:rPr>
        <w:t>212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人，高中阶段毛入学率100.81%。普通初中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所，在校生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36812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人，初中阶段适龄人口入学率100%。小学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95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所，在校生7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5911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人，小学学龄儿童入学率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%。九年义务教育巩固率1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/>
        </w:rPr>
        <w:t>01.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%。幼儿园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204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所，在校生26306人，学前三年毛入园率108.02%。特殊教育学校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所，在校生1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人。</w:t>
      </w:r>
    </w:p>
    <w:p w14:paraId="755FCB99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412D1DC2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6A14724A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648B5A1C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1A674A07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1725B37D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1965"/>
        <w:gridCol w:w="1360"/>
        <w:gridCol w:w="1363"/>
      </w:tblGrid>
      <w:tr w14:paraId="5DD4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80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 w14:paraId="0497E1A0">
            <w:pPr>
              <w:spacing w:line="480" w:lineRule="auto"/>
              <w:jc w:val="center"/>
              <w:rPr>
                <w:rFonts w:ascii="Times New Roman" w:hAnsi="Times New Roman" w:eastAsia="鏂规灏忔爣瀹嬬畝浣�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表5  202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年全市各级各类教育发展情况</w:t>
            </w:r>
          </w:p>
        </w:tc>
      </w:tr>
      <w:tr w14:paraId="033B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92" w:type="dxa"/>
            <w:tcBorders>
              <w:top w:val="single" w:color="auto" w:sz="1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F4BA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指标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0454B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招生数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758985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在校生数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6B5C9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毕业生数</w:t>
            </w:r>
          </w:p>
        </w:tc>
      </w:tr>
      <w:tr w14:paraId="31C4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0025DF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3E544E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（人）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2AABE2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（人）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56B3FD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（人）</w:t>
            </w:r>
          </w:p>
        </w:tc>
      </w:tr>
      <w:tr w14:paraId="4EDB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17E6854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普通本专科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37C4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宋体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8726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7BC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宋体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29791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B108F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宋体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9433 </w:t>
            </w:r>
          </w:p>
        </w:tc>
      </w:tr>
      <w:tr w14:paraId="5251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183572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中等职业教育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62273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3125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4236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11508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1D54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5285 </w:t>
            </w:r>
          </w:p>
        </w:tc>
      </w:tr>
      <w:tr w14:paraId="11F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27E2EC4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普通高中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41B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7217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E725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21218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C313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7163 </w:t>
            </w:r>
          </w:p>
        </w:tc>
      </w:tr>
      <w:tr w14:paraId="675B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B3449AC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初中阶段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5BC8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12417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49D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36812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6701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11482 </w:t>
            </w:r>
          </w:p>
        </w:tc>
      </w:tr>
      <w:tr w14:paraId="5058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E224BA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小学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CE929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12291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3C8F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75911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D471A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12518 </w:t>
            </w:r>
          </w:p>
        </w:tc>
      </w:tr>
      <w:tr w14:paraId="7EC6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2EA954B4">
            <w:pPr>
              <w:jc w:val="both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幼儿园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0CD5A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7403 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4B2835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26306 </w:t>
            </w:r>
          </w:p>
        </w:tc>
        <w:tc>
          <w:tcPr>
            <w:tcW w:w="1363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7F16F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12663 </w:t>
            </w:r>
          </w:p>
        </w:tc>
      </w:tr>
    </w:tbl>
    <w:p w14:paraId="035BE549">
      <w:pPr>
        <w:rPr>
          <w:rFonts w:ascii="Times New Roman" w:hAnsi="Times New Roman" w:eastAsia="仿宋" w:cs="Times New Roman"/>
          <w:color w:val="000000"/>
          <w:spacing w:val="4"/>
          <w:sz w:val="32"/>
          <w:szCs w:val="32"/>
        </w:rPr>
      </w:pPr>
    </w:p>
    <w:p w14:paraId="4EB8E0D2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年末拥有高新技术企业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家，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/>
        </w:rPr>
        <w:t>其中当年新认定39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家。全年输出技术合同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428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项，成交额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59.18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26.7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%；吸纳技术合同5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/>
        </w:rPr>
        <w:t>52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项，成交额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116.43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增长52.2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%。取得各类科技成果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93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项。</w:t>
      </w:r>
    </w:p>
    <w:p w14:paraId="609C6C76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全年共授权专利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1639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件，其中发明专利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348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年末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拥有有效发明专利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2669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件，每万人口发明专利拥有量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20.3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每万人口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高价值发明专利拥有量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10.3件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。</w:t>
      </w:r>
    </w:p>
    <w:p w14:paraId="178D59A5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年末获得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强制性产品认证的企业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法定计量技术机构6个（不含授权检定机构）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，全年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新制定、修订地方标准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，累计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拥有国家地理标志产品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个、有效注册商标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4.31万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件。</w:t>
      </w:r>
    </w:p>
    <w:p w14:paraId="68F1A565">
      <w:pPr>
        <w:pStyle w:val="2"/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 w:val="0"/>
        </w:rPr>
        <w:t>十一、文化旅游、卫生健康和体育</w:t>
      </w:r>
    </w:p>
    <w:p w14:paraId="6D1DC7FD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年末全市拥有文化馆8个，公共图书馆11个，博物馆51个（含民办博物馆31个），乡镇街道综合文化站105个。全国重点文物保护单位49处，省级重点文物保护单位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151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处。国家级非物质文化遗产名录24项，省级名录78项。广播电台7座，中、短波发射台和转播台1座，广播节目综合人口覆盖率99.88%。电视台7座，电视节目综合人口覆盖率99.82%。</w:t>
      </w:r>
    </w:p>
    <w:p w14:paraId="5030372E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全市县级以上公共文化场馆到馆389.04万人次；完成“送戏进万村”演出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851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场。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万里茶道安徽段、徽州古城城墙入选中国世界文化遗产预备名单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《徽州鱼灯IP塑造》《云端列车》入选中国群众文化品牌创新案例，原创黄梅戏《凤舞黟山》斩获安徽省“五个一工程”优秀作品奖，《梦圆徽州》荣获华东六省一市现代地方小戏大赛银奖。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获评年度微短剧上镜城市、最具创新价值城市，5部微短剧入选国家广电总局“跟着微短剧去旅行”推荐剧目。</w:t>
      </w:r>
    </w:p>
    <w:p w14:paraId="0BD052F8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全年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全市景区共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接待游客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5048.0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万人次，比上年增长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16.4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门票收入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10.9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21.7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年末全市有A级及以上旅游景点（区）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家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处，其中5A级景区3家8处；星级饭店2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家，其中四星级及以上饭店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家；旅行社2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82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家。</w:t>
      </w:r>
    </w:p>
    <w:p w14:paraId="16612F19">
      <w:pPr>
        <w:spacing w:line="560" w:lineRule="exact"/>
        <w:ind w:firstLine="656" w:firstLineChars="200"/>
        <w:rPr>
          <w:rFonts w:ascii="Times New Roman" w:hAnsi="Times New Roman" w:eastAsia="仿宋_GB2312" w:cs="Times New Roman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年末全市有医疗卫生机构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vertAlign w:val="superscript"/>
        </w:rPr>
        <w:t>[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vertAlign w:val="superscript"/>
          <w:lang w:val="en-US" w:eastAsia="zh-CN"/>
        </w:rPr>
        <w:t>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vertAlign w:val="superscript"/>
        </w:rPr>
        <w:t>]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109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个，其中医院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个、基层医疗卫生机构10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个、专业公共卫生机构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个、其他卫生机构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个。基层医疗卫生机构中，乡镇卫生院101个，社区卫生服务中心（站）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个，村卫生室60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个；专业公共卫生机构中，疾病预防控制中心8个，妇幼保健院（所、站）8个。年末卫生技术人员12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468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人，其中执业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eastAsia="zh-CN"/>
        </w:rPr>
        <w:t>（助理）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医师4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953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人，注册护士55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87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人。乡村医生和卫生员4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人。医疗卫生机构床位10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626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张，其中医院床位8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794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张。全年医疗卫生机构共诊疗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val="en-US" w:eastAsia="zh-CN"/>
        </w:rPr>
        <w:t>900.91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</w:rPr>
        <w:t>万人次。</w:t>
      </w:r>
    </w:p>
    <w:p w14:paraId="2562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年末全市拥有体育场10个、体育馆6座、运动场22个，人均体育场地面积4.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平方米。全年举办各级各类全民健身项目300项次，参与健身群众人数达2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万人次。在市级以上竞赛中，我市运动健儿共夺得金牌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枚、银牌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枚、铜牌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枚。成功举办2025年黄山马拉松、2025环黄山国际公路自行车赛、2025长三角绿水青山运动会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2025黄山国际铁人三项赛等178场规模体育赛事活动。全年电脑体育彩票销售额4.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</w:rPr>
        <w:t>亿元。</w:t>
      </w:r>
    </w:p>
    <w:p w14:paraId="07454B88">
      <w:pPr>
        <w:pStyle w:val="2"/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 w:val="0"/>
        </w:rPr>
        <w:t>十二、生态环境和应急管理</w:t>
      </w:r>
    </w:p>
    <w:p w14:paraId="6BD391E8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全年空气质量平均优良天数比例为9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8.4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%。全市可吸入颗粒物（PM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）年均浓度3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6.6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微克/立方米，细颗粒物（PM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）平均浓度21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.7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微克/立方米。已建成自然保护区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个，其中国家级2个，省级8个。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当年造林面积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6392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公顷，其中，人工造林面积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639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公顷，封山育林面积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5753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公顷。</w:t>
      </w:r>
    </w:p>
    <w:p w14:paraId="12ED55EC">
      <w:pPr>
        <w:spacing w:line="560" w:lineRule="exact"/>
        <w:ind w:firstLine="664" w:firstLineChars="200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全市地表水总体水质状况优，其中新安江流域河流总体水质状况优，18个监测断面水质均达到I～II类；长江流域河流总体水质优，10个监测断面水质均达到I～II类。太平湖水质优，水质类别为II类；丰乐湖水质优，水质类别为II类；奇墅湖水质良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好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，水质类别为III类。全市城镇集中式饮用水水源地全年水质达标率100%。城市区域声环境昼间平均等效声级为5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分贝，昼间道路交通噪声平均等效声级为6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6.0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分贝。</w:t>
      </w:r>
    </w:p>
    <w:p w14:paraId="57C49B03">
      <w:pPr>
        <w:ind w:firstLine="664" w:firstLineChars="200"/>
        <w:rPr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全年发生生产安全事故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起，死亡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人。亿元GDP生产安全事故死亡率1.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%。发生道路交通事故3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起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火灾事故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877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</w:rPr>
        <w:t>起。</w:t>
      </w:r>
    </w:p>
    <w:p w14:paraId="297C6C50"/>
    <w:p w14:paraId="12C790AE"/>
    <w:p w14:paraId="60F2D708">
      <w:pPr>
        <w:widowControl/>
        <w:spacing w:line="540" w:lineRule="exact"/>
        <w:jc w:val="left"/>
        <w:rPr>
          <w:rFonts w:ascii="Times New Roman" w:hAnsi="Times New Roman" w:eastAsia="楷体" w:cs="楷体"/>
          <w:spacing w:val="4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注：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[1]</w:t>
      </w:r>
      <w:r>
        <w:rPr>
          <w:rFonts w:hint="eastAsia" w:ascii="Times New Roman" w:hAnsi="Times New Roman" w:eastAsia="楷体" w:cs="楷体"/>
          <w:sz w:val="28"/>
          <w:szCs w:val="28"/>
        </w:rPr>
        <w:t>本公报中数据主要为初步统计数，部分数据由相关部门提供。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部分数据因四舍五入的原因，存在总计与分项合计不等的情况。</w:t>
      </w:r>
    </w:p>
    <w:p w14:paraId="08DCCE9D">
      <w:pPr>
        <w:spacing w:line="540" w:lineRule="exact"/>
        <w:ind w:firstLine="576" w:firstLineChars="200"/>
        <w:rPr>
          <w:rFonts w:ascii="Times New Roman" w:hAnsi="Times New Roman" w:eastAsia="楷体" w:cs="楷体"/>
          <w:spacing w:val="4"/>
          <w:sz w:val="28"/>
          <w:szCs w:val="28"/>
        </w:rPr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[2]地区生产总值</w:t>
      </w:r>
      <w:r>
        <w:rPr>
          <w:rFonts w:hint="eastAsia" w:ascii="Times New Roman" w:hAnsi="Times New Roman" w:eastAsia="楷体" w:cs="楷体"/>
          <w:spacing w:val="4"/>
          <w:sz w:val="28"/>
          <w:szCs w:val="28"/>
          <w:lang w:val="en-US" w:eastAsia="zh-CN"/>
        </w:rPr>
        <w:t>及其分类项目增加值绝对量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按现价计算，增长速度按不变价格计算</w:t>
      </w:r>
      <w:r>
        <w:rPr>
          <w:rFonts w:hint="eastAsia" w:ascii="Times New Roman" w:hAnsi="Times New Roman" w:eastAsia="楷体" w:cs="楷体"/>
          <w:spacing w:val="4"/>
          <w:sz w:val="28"/>
          <w:szCs w:val="28"/>
          <w:lang w:val="en-US" w:eastAsia="zh-CN"/>
        </w:rPr>
        <w:t>。</w:t>
      </w:r>
    </w:p>
    <w:p w14:paraId="54922555">
      <w:pPr>
        <w:spacing w:line="540" w:lineRule="exact"/>
        <w:ind w:firstLine="576" w:firstLineChars="200"/>
        <w:rPr>
          <w:rFonts w:hint="eastAsia" w:ascii="Times New Roman" w:hAnsi="Times New Roman" w:eastAsia="楷体" w:cs="楷体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[3]</w:t>
      </w:r>
      <w:r>
        <w:rPr>
          <w:rFonts w:hint="eastAsia" w:ascii="Times New Roman" w:hAnsi="Times New Roman" w:eastAsia="楷体" w:cs="楷体"/>
          <w:sz w:val="28"/>
          <w:szCs w:val="28"/>
          <w:shd w:val="clear" w:color="auto" w:fill="FFFFFF"/>
        </w:rPr>
        <w:t>三次产业划分标准：第一产业是指农、林、牧、渔业（不含农、林、牧、渔专业及辅助性活动）。第二产业是指采矿业（不含开采专业及辅助性活动），制造业（不含金属制品、机械和设备修理业），电力、热力、燃气及水生产和供应业，建筑业。第三产业是指除第一产业、第二产业以外的其他行业。</w:t>
      </w:r>
    </w:p>
    <w:p w14:paraId="6F96F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Times New Roman" w:hAnsi="Times New Roman" w:eastAsia="楷体" w:cs="楷体"/>
          <w:spacing w:val="4"/>
          <w:sz w:val="28"/>
          <w:szCs w:val="28"/>
        </w:rPr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</w:t>
      </w:r>
      <w:r>
        <w:rPr>
          <w:rFonts w:hint="default" w:ascii="Times New Roman" w:hAnsi="Times New Roman" w:eastAsia="楷体" w:cs="楷体"/>
          <w:spacing w:val="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]电信业务总量按</w:t>
      </w:r>
      <w:r>
        <w:rPr>
          <w:rFonts w:hint="eastAsia" w:ascii="Times New Roman" w:hAnsi="Times New Roman" w:eastAsia="楷体" w:cs="楷体"/>
          <w:spacing w:val="4"/>
          <w:sz w:val="28"/>
          <w:szCs w:val="28"/>
          <w:lang w:val="en-US" w:eastAsia="zh-CN"/>
        </w:rPr>
        <w:t>上年价格计算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。</w:t>
      </w:r>
    </w:p>
    <w:p w14:paraId="5038A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Times New Roman" w:hAnsi="Times New Roman" w:eastAsia="楷体" w:cs="楷体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</w:t>
      </w:r>
      <w:r>
        <w:rPr>
          <w:rFonts w:hint="default" w:ascii="Times New Roman" w:hAnsi="Times New Roman" w:eastAsia="楷体" w:cs="楷体"/>
          <w:spacing w:val="4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]</w:t>
      </w:r>
      <w:r>
        <w:rPr>
          <w:rFonts w:hint="eastAsia" w:ascii="Times New Roman" w:hAnsi="Times New Roman" w:eastAsia="楷体" w:cs="楷体"/>
          <w:spacing w:val="4"/>
          <w:sz w:val="28"/>
          <w:szCs w:val="28"/>
          <w:lang w:val="en-US" w:eastAsia="zh-CN"/>
        </w:rPr>
        <w:t>房地产业投资除房地产开发投资外，还包括建设单位自建房屋以及物业管理、中介服务和其他房地产投资。</w:t>
      </w:r>
    </w:p>
    <w:p w14:paraId="42282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Times New Roman" w:hAnsi="Times New Roman" w:eastAsia="楷体" w:cs="楷体"/>
          <w:color w:val="auto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</w:t>
      </w:r>
      <w:r>
        <w:rPr>
          <w:rFonts w:hint="default" w:ascii="Times New Roman" w:hAnsi="Times New Roman" w:eastAsia="楷体" w:cs="楷体"/>
          <w:spacing w:val="4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]</w:t>
      </w:r>
      <w:r>
        <w:rPr>
          <w:rFonts w:hint="eastAsia" w:ascii="Times New Roman" w:hAnsi="Times New Roman" w:eastAsia="楷体" w:cs="楷体"/>
          <w:color w:val="auto"/>
          <w:spacing w:val="4"/>
          <w:sz w:val="28"/>
          <w:szCs w:val="28"/>
          <w:lang w:val="en-US" w:eastAsia="zh-CN"/>
        </w:rPr>
        <w:t>根据第五次全国经济普查结果对社会消费品零售总额进行了修订，2025年社会消费品零售总额增速按可比口径计算。</w:t>
      </w:r>
    </w:p>
    <w:p w14:paraId="231F413D">
      <w:pPr>
        <w:spacing w:line="540" w:lineRule="exact"/>
        <w:ind w:firstLine="576" w:firstLineChars="200"/>
        <w:rPr>
          <w:rFonts w:ascii="Times New Roman" w:hAnsi="Times New Roman" w:eastAsia="楷体" w:cs="楷体"/>
          <w:color w:val="auto"/>
          <w:spacing w:val="4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pacing w:val="4"/>
          <w:sz w:val="28"/>
          <w:szCs w:val="28"/>
        </w:rPr>
        <w:t>[</w:t>
      </w:r>
      <w:r>
        <w:rPr>
          <w:rFonts w:hint="default" w:ascii="Times New Roman" w:hAnsi="Times New Roman" w:eastAsia="楷体" w:cs="楷体"/>
          <w:color w:val="auto"/>
          <w:spacing w:val="4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" w:cs="楷体"/>
          <w:color w:val="auto"/>
          <w:spacing w:val="4"/>
          <w:sz w:val="28"/>
          <w:szCs w:val="28"/>
        </w:rPr>
        <w:t>]</w:t>
      </w:r>
      <w:r>
        <w:rPr>
          <w:rFonts w:hint="eastAsia" w:ascii="Times New Roman" w:hAnsi="Times New Roman" w:eastAsia="楷体" w:cs="楷体"/>
          <w:color w:val="auto"/>
          <w:spacing w:val="4"/>
          <w:sz w:val="28"/>
          <w:szCs w:val="28"/>
          <w:lang w:val="en-US" w:eastAsia="zh-CN"/>
        </w:rPr>
        <w:t>网上零售额是指通过公共网络交易平台（包括自建网站和第三方平台）实现的商品和服务零售额之和。商品和服务包括实物商品和非实物商品（如虚拟商品、服务类商品等）。</w:t>
      </w:r>
    </w:p>
    <w:p w14:paraId="642FA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</w:pP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[</w:t>
      </w:r>
      <w:r>
        <w:rPr>
          <w:rFonts w:hint="default" w:ascii="Times New Roman" w:hAnsi="Times New Roman" w:eastAsia="楷体" w:cs="楷体"/>
          <w:spacing w:val="4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楷体" w:cs="楷体"/>
          <w:spacing w:val="4"/>
          <w:sz w:val="28"/>
          <w:szCs w:val="28"/>
        </w:rPr>
        <w:t>]</w:t>
      </w:r>
      <w:r>
        <w:rPr>
          <w:rFonts w:hint="eastAsia" w:ascii="Times New Roman" w:hAnsi="Times New Roman" w:eastAsia="楷体" w:cs="楷体"/>
          <w:color w:val="auto"/>
          <w:spacing w:val="4"/>
          <w:sz w:val="28"/>
          <w:szCs w:val="28"/>
          <w:lang w:val="en-US" w:eastAsia="zh-CN"/>
        </w:rPr>
        <w:t>卫生健康相关数据均为预计数。</w:t>
      </w:r>
    </w:p>
    <w:p w14:paraId="005711D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鏂规灏忔爣瀹嬬畝浣�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8DF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00F82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0F82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2YjVlOGQ2ZmM5NjVhNzZlY2FiOTk0YTliZWYifQ=="/>
  </w:docVars>
  <w:rsids>
    <w:rsidRoot w:val="00000000"/>
    <w:rsid w:val="4D4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line="500" w:lineRule="exact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5">
    <w:name w:val="Normal (Web)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2026-04-30T03:30:25Z</dcterms:created>
  <dc:creator>Administrator</dc:creator>
  <cp:lastModifiedBy>春光明媚的姑娘</cp:lastModifiedBy>
  <dcterms:modified xsi:type="dcterms:W3CDTF">2026-04-30T03:30:50Z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FBC42AE315C248EFB336376AB1A4A2C7_12</vt:lpwstr>
  </property>
</Properties>
</file>