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topLinePunct w:val="0"/>
        <w:autoSpaceDE/>
        <w:autoSpaceDN/>
        <w:bidi w:val="0"/>
        <w:spacing w:line="560" w:lineRule="exact"/>
        <w:ind w:left="0" w:leftChars="0"/>
        <w:textAlignment w:val="auto"/>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rPr>
        <w:t>附件</w:t>
      </w:r>
      <w:r>
        <w:rPr>
          <w:rFonts w:hint="eastAsia" w:ascii="仿宋_GB2312" w:hAnsi="仿宋_GB2312" w:eastAsia="仿宋_GB2312" w:cs="仿宋_GB2312"/>
          <w:bCs/>
          <w:color w:val="auto"/>
          <w:kern w:val="0"/>
          <w:sz w:val="32"/>
          <w:szCs w:val="32"/>
          <w:highlight w:val="none"/>
          <w:lang w:val="en-US" w:eastAsia="zh-CN"/>
        </w:rPr>
        <w:t>1：</w:t>
      </w:r>
    </w:p>
    <w:p>
      <w:pPr>
        <w:keepNext w:val="0"/>
        <w:keepLines w:val="0"/>
        <w:pageBreakBefore w:val="0"/>
        <w:kinsoku/>
        <w:topLinePunct w:val="0"/>
        <w:autoSpaceDE/>
        <w:autoSpaceDN/>
        <w:bidi w:val="0"/>
        <w:spacing w:line="560" w:lineRule="exact"/>
        <w:ind w:left="0" w:leftChars="0"/>
        <w:jc w:val="center"/>
        <w:textAlignment w:val="auto"/>
        <w:rPr>
          <w:rFonts w:ascii="仿宋_GB2312" w:hAnsi="仿宋_GB2312" w:eastAsia="仿宋_GB2312" w:cs="仿宋_GB2312"/>
          <w:b/>
          <w:bCs/>
          <w:color w:val="auto"/>
          <w:sz w:val="32"/>
          <w:szCs w:val="32"/>
          <w:highlight w:val="none"/>
        </w:rPr>
      </w:pPr>
    </w:p>
    <w:p>
      <w:pPr>
        <w:keepNext w:val="0"/>
        <w:keepLines w:val="0"/>
        <w:pageBreakBefore w:val="0"/>
        <w:kinsoku/>
        <w:topLinePunct w:val="0"/>
        <w:autoSpaceDE/>
        <w:autoSpaceDN/>
        <w:bidi w:val="0"/>
        <w:spacing w:line="560" w:lineRule="exact"/>
        <w:ind w:left="0" w:leftChars="0"/>
        <w:jc w:val="center"/>
        <w:textAlignment w:val="auto"/>
        <w:rPr>
          <w:rFonts w:hint="eastAsia"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rPr>
        <w:t>中央预算内投资项目谋划指南</w:t>
      </w:r>
    </w:p>
    <w:p>
      <w:pPr>
        <w:keepNext w:val="0"/>
        <w:keepLines w:val="0"/>
        <w:pageBreakBefore w:val="0"/>
        <w:kinsoku/>
        <w:topLinePunct w:val="0"/>
        <w:autoSpaceDE/>
        <w:autoSpaceDN/>
        <w:bidi w:val="0"/>
        <w:spacing w:line="560" w:lineRule="exact"/>
        <w:ind w:left="0" w:leftChars="0"/>
        <w:jc w:val="center"/>
        <w:textAlignment w:val="auto"/>
        <w:rPr>
          <w:rFonts w:hint="eastAsia"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rPr>
        <w:t>（202</w:t>
      </w:r>
      <w:r>
        <w:rPr>
          <w:rFonts w:hint="default" w:ascii="方正小标宋_GBK" w:hAnsi="方正小标宋_GBK" w:eastAsia="方正小标宋_GBK" w:cs="方正小标宋_GBK"/>
          <w:b w:val="0"/>
          <w:bCs w:val="0"/>
          <w:color w:val="auto"/>
          <w:sz w:val="44"/>
          <w:szCs w:val="44"/>
          <w:highlight w:val="none"/>
          <w:lang w:val="en" w:eastAsia="zh-CN"/>
        </w:rPr>
        <w:t>5</w:t>
      </w:r>
      <w:r>
        <w:rPr>
          <w:rFonts w:hint="eastAsia" w:ascii="方正小标宋_GBK" w:hAnsi="方正小标宋_GBK" w:eastAsia="方正小标宋_GBK" w:cs="方正小标宋_GBK"/>
          <w:b w:val="0"/>
          <w:bCs w:val="0"/>
          <w:color w:val="auto"/>
          <w:sz w:val="44"/>
          <w:szCs w:val="44"/>
          <w:highlight w:val="none"/>
        </w:rPr>
        <w:t>年版）</w:t>
      </w:r>
    </w:p>
    <w:p>
      <w:pPr>
        <w:keepNext w:val="0"/>
        <w:keepLines w:val="0"/>
        <w:pageBreakBefore w:val="0"/>
        <w:kinsoku/>
        <w:topLinePunct w:val="0"/>
        <w:autoSpaceDE/>
        <w:autoSpaceDN/>
        <w:bidi w:val="0"/>
        <w:spacing w:line="560" w:lineRule="exact"/>
        <w:ind w:left="0" w:leftChars="0"/>
        <w:jc w:val="center"/>
        <w:textAlignment w:val="auto"/>
        <w:rPr>
          <w:rFonts w:ascii="仿宋_GB2312" w:hAnsi="仿宋_GB2312" w:eastAsia="仿宋_GB2312" w:cs="仿宋_GB2312"/>
          <w:b/>
          <w:bCs/>
          <w:color w:val="auto"/>
          <w:sz w:val="32"/>
          <w:szCs w:val="32"/>
          <w:highlight w:val="none"/>
        </w:rPr>
      </w:pPr>
    </w:p>
    <w:p>
      <w:pPr>
        <w:keepNext w:val="0"/>
        <w:keepLines w:val="0"/>
        <w:pageBreakBefore w:val="0"/>
        <w:kinsoku/>
        <w:topLinePunct w:val="0"/>
        <w:autoSpaceDE/>
        <w:autoSpaceDN/>
        <w:bidi w:val="0"/>
        <w:spacing w:line="560" w:lineRule="exact"/>
        <w:ind w:left="0" w:leftChars="0"/>
        <w:jc w:val="center"/>
        <w:textAlignment w:val="auto"/>
        <w:rPr>
          <w:rFonts w:ascii="仿宋_GB2312" w:hAnsi="仿宋_GB2312" w:eastAsia="仿宋_GB2312" w:cs="仿宋_GB2312"/>
          <w:b/>
          <w:bCs/>
          <w:color w:val="auto"/>
          <w:sz w:val="32"/>
          <w:szCs w:val="32"/>
          <w:highlight w:val="none"/>
        </w:rPr>
      </w:pPr>
    </w:p>
    <w:p>
      <w:pPr>
        <w:keepNext w:val="0"/>
        <w:keepLines w:val="0"/>
        <w:pageBreakBefore w:val="0"/>
        <w:kinsoku/>
        <w:topLinePunct w:val="0"/>
        <w:autoSpaceDE/>
        <w:autoSpaceDN/>
        <w:bidi w:val="0"/>
        <w:spacing w:line="560" w:lineRule="exact"/>
        <w:ind w:left="0" w:leftChars="0"/>
        <w:jc w:val="center"/>
        <w:textAlignment w:val="auto"/>
        <w:rPr>
          <w:rFonts w:ascii="仿宋_GB2312" w:hAnsi="仿宋_GB2312" w:eastAsia="仿宋_GB2312" w:cs="仿宋_GB2312"/>
          <w:b/>
          <w:bCs/>
          <w:color w:val="auto"/>
          <w:sz w:val="32"/>
          <w:szCs w:val="32"/>
          <w:highlight w:val="none"/>
        </w:rPr>
      </w:pPr>
    </w:p>
    <w:p>
      <w:pPr>
        <w:keepNext w:val="0"/>
        <w:keepLines w:val="0"/>
        <w:pageBreakBefore w:val="0"/>
        <w:kinsoku/>
        <w:topLinePunct w:val="0"/>
        <w:autoSpaceDE/>
        <w:autoSpaceDN/>
        <w:bidi w:val="0"/>
        <w:spacing w:line="560" w:lineRule="exact"/>
        <w:ind w:left="0" w:leftChars="0"/>
        <w:jc w:val="center"/>
        <w:textAlignment w:val="auto"/>
        <w:rPr>
          <w:rFonts w:ascii="仿宋_GB2312" w:hAnsi="仿宋_GB2312" w:eastAsia="仿宋_GB2312" w:cs="仿宋_GB2312"/>
          <w:b/>
          <w:bCs/>
          <w:color w:val="auto"/>
          <w:sz w:val="32"/>
          <w:szCs w:val="32"/>
          <w:highlight w:val="none"/>
        </w:rPr>
      </w:pPr>
    </w:p>
    <w:p>
      <w:pPr>
        <w:keepNext w:val="0"/>
        <w:keepLines w:val="0"/>
        <w:pageBreakBefore w:val="0"/>
        <w:kinsoku/>
        <w:topLinePunct w:val="0"/>
        <w:autoSpaceDE/>
        <w:autoSpaceDN/>
        <w:bidi w:val="0"/>
        <w:spacing w:line="560" w:lineRule="exact"/>
        <w:ind w:left="0" w:leftChars="0"/>
        <w:jc w:val="center"/>
        <w:textAlignment w:val="auto"/>
        <w:rPr>
          <w:rFonts w:ascii="仿宋_GB2312" w:hAnsi="仿宋_GB2312" w:eastAsia="仿宋_GB2312" w:cs="仿宋_GB2312"/>
          <w:b/>
          <w:bCs/>
          <w:color w:val="auto"/>
          <w:sz w:val="32"/>
          <w:szCs w:val="32"/>
          <w:highlight w:val="none"/>
        </w:rPr>
      </w:pPr>
    </w:p>
    <w:p>
      <w:pPr>
        <w:keepNext w:val="0"/>
        <w:keepLines w:val="0"/>
        <w:pageBreakBefore w:val="0"/>
        <w:kinsoku/>
        <w:topLinePunct w:val="0"/>
        <w:autoSpaceDE/>
        <w:autoSpaceDN/>
        <w:bidi w:val="0"/>
        <w:spacing w:line="560" w:lineRule="exact"/>
        <w:ind w:left="0" w:leftChars="0"/>
        <w:jc w:val="center"/>
        <w:textAlignment w:val="auto"/>
        <w:rPr>
          <w:rFonts w:ascii="仿宋_GB2312" w:hAnsi="仿宋_GB2312" w:eastAsia="仿宋_GB2312" w:cs="仿宋_GB2312"/>
          <w:b/>
          <w:bCs/>
          <w:color w:val="auto"/>
          <w:sz w:val="32"/>
          <w:szCs w:val="32"/>
          <w:highlight w:val="none"/>
        </w:rPr>
      </w:pPr>
    </w:p>
    <w:p>
      <w:pPr>
        <w:keepNext w:val="0"/>
        <w:keepLines w:val="0"/>
        <w:pageBreakBefore w:val="0"/>
        <w:kinsoku/>
        <w:topLinePunct w:val="0"/>
        <w:autoSpaceDE/>
        <w:autoSpaceDN/>
        <w:bidi w:val="0"/>
        <w:spacing w:line="560" w:lineRule="exact"/>
        <w:ind w:left="0" w:leftChars="0"/>
        <w:jc w:val="center"/>
        <w:textAlignment w:val="auto"/>
        <w:rPr>
          <w:rFonts w:ascii="仿宋_GB2312" w:hAnsi="仿宋_GB2312" w:eastAsia="仿宋_GB2312" w:cs="仿宋_GB2312"/>
          <w:b/>
          <w:bCs/>
          <w:color w:val="auto"/>
          <w:sz w:val="32"/>
          <w:szCs w:val="32"/>
          <w:highlight w:val="none"/>
        </w:rPr>
      </w:pPr>
    </w:p>
    <w:p>
      <w:pPr>
        <w:keepNext w:val="0"/>
        <w:keepLines w:val="0"/>
        <w:pageBreakBefore w:val="0"/>
        <w:kinsoku/>
        <w:topLinePunct w:val="0"/>
        <w:autoSpaceDE/>
        <w:autoSpaceDN/>
        <w:bidi w:val="0"/>
        <w:spacing w:line="560" w:lineRule="exact"/>
        <w:ind w:left="0" w:leftChars="0"/>
        <w:jc w:val="center"/>
        <w:textAlignment w:val="auto"/>
        <w:rPr>
          <w:rFonts w:ascii="仿宋_GB2312" w:hAnsi="仿宋_GB2312" w:eastAsia="仿宋_GB2312" w:cs="仿宋_GB2312"/>
          <w:b/>
          <w:bCs/>
          <w:color w:val="auto"/>
          <w:sz w:val="32"/>
          <w:szCs w:val="32"/>
          <w:highlight w:val="none"/>
        </w:rPr>
      </w:pPr>
    </w:p>
    <w:p>
      <w:pPr>
        <w:pStyle w:val="6"/>
        <w:keepNext w:val="0"/>
        <w:keepLines w:val="0"/>
        <w:pageBreakBefore w:val="0"/>
        <w:kinsoku/>
        <w:topLinePunct w:val="0"/>
        <w:autoSpaceDE/>
        <w:autoSpaceDN/>
        <w:bidi w:val="0"/>
        <w:spacing w:line="560" w:lineRule="exact"/>
        <w:ind w:left="0" w:leftChars="0"/>
        <w:textAlignment w:val="auto"/>
        <w:rPr>
          <w:rFonts w:ascii="仿宋_GB2312" w:hAnsi="仿宋_GB2312" w:eastAsia="仿宋_GB2312" w:cs="仿宋_GB2312"/>
          <w:color w:val="auto"/>
          <w:sz w:val="32"/>
          <w:highlight w:val="none"/>
        </w:rPr>
      </w:pPr>
    </w:p>
    <w:p>
      <w:pPr>
        <w:keepNext w:val="0"/>
        <w:keepLines w:val="0"/>
        <w:pageBreakBefore w:val="0"/>
        <w:kinsoku/>
        <w:topLinePunct w:val="0"/>
        <w:autoSpaceDE/>
        <w:autoSpaceDN/>
        <w:bidi w:val="0"/>
        <w:spacing w:line="560" w:lineRule="exact"/>
        <w:ind w:left="0" w:leftChars="0"/>
        <w:jc w:val="center"/>
        <w:textAlignment w:val="auto"/>
        <w:rPr>
          <w:rFonts w:ascii="仿宋_GB2312" w:hAnsi="仿宋_GB2312" w:eastAsia="仿宋_GB2312" w:cs="仿宋_GB2312"/>
          <w:b/>
          <w:bCs/>
          <w:color w:val="auto"/>
          <w:sz w:val="32"/>
          <w:szCs w:val="32"/>
          <w:highlight w:val="none"/>
        </w:rPr>
      </w:pPr>
    </w:p>
    <w:p>
      <w:pPr>
        <w:keepNext w:val="0"/>
        <w:keepLines w:val="0"/>
        <w:pageBreakBefore w:val="0"/>
        <w:kinsoku/>
        <w:topLinePunct w:val="0"/>
        <w:autoSpaceDE/>
        <w:autoSpaceDN/>
        <w:bidi w:val="0"/>
        <w:spacing w:line="560" w:lineRule="exact"/>
        <w:ind w:left="0" w:leftChars="0"/>
        <w:jc w:val="center"/>
        <w:textAlignment w:val="auto"/>
        <w:rPr>
          <w:rFonts w:ascii="仿宋_GB2312" w:hAnsi="仿宋_GB2312" w:eastAsia="仿宋_GB2312" w:cs="仿宋_GB2312"/>
          <w:b/>
          <w:bCs/>
          <w:color w:val="auto"/>
          <w:sz w:val="32"/>
          <w:szCs w:val="32"/>
          <w:highlight w:val="none"/>
        </w:rPr>
      </w:pPr>
    </w:p>
    <w:p>
      <w:pPr>
        <w:keepNext w:val="0"/>
        <w:keepLines w:val="0"/>
        <w:pageBreakBefore w:val="0"/>
        <w:kinsoku/>
        <w:topLinePunct w:val="0"/>
        <w:autoSpaceDE/>
        <w:autoSpaceDN/>
        <w:bidi w:val="0"/>
        <w:spacing w:line="560" w:lineRule="exact"/>
        <w:ind w:left="0" w:leftChars="0"/>
        <w:jc w:val="center"/>
        <w:textAlignment w:val="auto"/>
        <w:rPr>
          <w:rFonts w:ascii="仿宋_GB2312" w:hAnsi="仿宋_GB2312" w:eastAsia="仿宋_GB2312" w:cs="仿宋_GB2312"/>
          <w:b/>
          <w:bCs/>
          <w:color w:val="auto"/>
          <w:sz w:val="32"/>
          <w:szCs w:val="32"/>
          <w:highlight w:val="none"/>
        </w:rPr>
      </w:pPr>
    </w:p>
    <w:p>
      <w:pPr>
        <w:keepNext w:val="0"/>
        <w:keepLines w:val="0"/>
        <w:pageBreakBefore w:val="0"/>
        <w:kinsoku/>
        <w:topLinePunct w:val="0"/>
        <w:autoSpaceDE/>
        <w:autoSpaceDN/>
        <w:bidi w:val="0"/>
        <w:spacing w:line="560" w:lineRule="exact"/>
        <w:ind w:left="0" w:leftChars="0"/>
        <w:jc w:val="center"/>
        <w:textAlignment w:val="auto"/>
        <w:rPr>
          <w:rFonts w:ascii="仿宋_GB2312" w:hAnsi="仿宋_GB2312" w:eastAsia="仿宋_GB2312" w:cs="仿宋_GB2312"/>
          <w:b/>
          <w:bCs/>
          <w:color w:val="auto"/>
          <w:sz w:val="32"/>
          <w:szCs w:val="32"/>
          <w:highlight w:val="none"/>
        </w:rPr>
      </w:pPr>
    </w:p>
    <w:p>
      <w:pPr>
        <w:keepNext w:val="0"/>
        <w:keepLines w:val="0"/>
        <w:pageBreakBefore w:val="0"/>
        <w:kinsoku/>
        <w:topLinePunct w:val="0"/>
        <w:autoSpaceDE/>
        <w:autoSpaceDN/>
        <w:bidi w:val="0"/>
        <w:spacing w:line="560" w:lineRule="exact"/>
        <w:ind w:left="0" w:leftChars="0"/>
        <w:jc w:val="center"/>
        <w:textAlignment w:val="auto"/>
        <w:rPr>
          <w:rFonts w:ascii="仿宋_GB2312" w:hAnsi="仿宋_GB2312" w:eastAsia="仿宋_GB2312" w:cs="仿宋_GB2312"/>
          <w:b/>
          <w:bCs/>
          <w:color w:val="auto"/>
          <w:sz w:val="32"/>
          <w:szCs w:val="32"/>
          <w:highlight w:val="none"/>
        </w:rPr>
      </w:pPr>
    </w:p>
    <w:p>
      <w:pPr>
        <w:keepNext w:val="0"/>
        <w:keepLines w:val="0"/>
        <w:pageBreakBefore w:val="0"/>
        <w:kinsoku/>
        <w:topLinePunct w:val="0"/>
        <w:autoSpaceDE/>
        <w:autoSpaceDN/>
        <w:bidi w:val="0"/>
        <w:spacing w:line="560" w:lineRule="exact"/>
        <w:ind w:left="0" w:leftChars="0"/>
        <w:jc w:val="center"/>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黄山市发展和改革委员会</w:t>
      </w:r>
    </w:p>
    <w:p>
      <w:pPr>
        <w:keepNext w:val="0"/>
        <w:keepLines w:val="0"/>
        <w:pageBreakBefore w:val="0"/>
        <w:kinsoku/>
        <w:topLinePunct w:val="0"/>
        <w:autoSpaceDE/>
        <w:autoSpaceDN/>
        <w:bidi w:val="0"/>
        <w:spacing w:line="560" w:lineRule="exact"/>
        <w:ind w:left="0" w:leftChars="0"/>
        <w:jc w:val="center"/>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202</w:t>
      </w: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rPr>
        <w:t>年</w:t>
      </w: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月</w:t>
      </w:r>
    </w:p>
    <w:p>
      <w:pPr>
        <w:keepNext w:val="0"/>
        <w:keepLines w:val="0"/>
        <w:pageBreakBefore w:val="0"/>
        <w:kinsoku/>
        <w:topLinePunct w:val="0"/>
        <w:autoSpaceDE/>
        <w:autoSpaceDN/>
        <w:bidi w:val="0"/>
        <w:spacing w:line="560" w:lineRule="exact"/>
        <w:ind w:left="0" w:leftChars="0"/>
        <w:jc w:val="center"/>
        <w:textAlignment w:val="auto"/>
        <w:rPr>
          <w:rFonts w:ascii="仿宋_GB2312" w:hAnsi="仿宋_GB2312" w:eastAsia="仿宋_GB2312" w:cs="仿宋_GB2312"/>
          <w:b/>
          <w:bCs/>
          <w:color w:val="auto"/>
          <w:sz w:val="32"/>
          <w:szCs w:val="32"/>
          <w:highlight w:val="none"/>
        </w:rPr>
        <w:sectPr>
          <w:headerReference r:id="rId3" w:type="default"/>
          <w:pgSz w:w="11906" w:h="16838"/>
          <w:pgMar w:top="1440" w:right="1803" w:bottom="1440" w:left="1803" w:header="851" w:footer="992" w:gutter="0"/>
          <w:pgNumType w:start="1"/>
          <w:cols w:space="0" w:num="1"/>
          <w:docGrid w:type="lines" w:linePitch="317" w:charSpace="0"/>
        </w:sectPr>
      </w:pPr>
    </w:p>
    <w:p>
      <w:pPr>
        <w:keepNext w:val="0"/>
        <w:keepLines w:val="0"/>
        <w:pageBreakBefore w:val="0"/>
        <w:kinsoku/>
        <w:topLinePunct w:val="0"/>
        <w:autoSpaceDE/>
        <w:autoSpaceDN/>
        <w:bidi w:val="0"/>
        <w:spacing w:line="560" w:lineRule="exact"/>
        <w:ind w:left="0" w:leftChars="0"/>
        <w:jc w:val="center"/>
        <w:textAlignment w:val="auto"/>
        <w:rPr>
          <w:rFonts w:ascii="仿宋_GB2312" w:hAnsi="仿宋_GB2312" w:eastAsia="仿宋_GB2312" w:cs="仿宋_GB2312"/>
          <w:color w:val="auto"/>
          <w:sz w:val="32"/>
          <w:szCs w:val="32"/>
          <w:highlight w:val="none"/>
        </w:rPr>
      </w:pPr>
      <w:r>
        <w:rPr>
          <w:rFonts w:hint="eastAsia" w:ascii="方正小标宋_GBK" w:hAnsi="方正小标宋_GBK" w:eastAsia="方正小标宋_GBK" w:cs="方正小标宋_GBK"/>
          <w:color w:val="auto"/>
          <w:sz w:val="44"/>
          <w:szCs w:val="44"/>
          <w:highlight w:val="none"/>
        </w:rPr>
        <w:t>前   言</w:t>
      </w:r>
    </w:p>
    <w:p>
      <w:pPr>
        <w:keepNext w:val="0"/>
        <w:keepLines w:val="0"/>
        <w:pageBreakBefore w:val="0"/>
        <w:kinsoku/>
        <w:topLinePunct w:val="0"/>
        <w:autoSpaceDE/>
        <w:autoSpaceDN/>
        <w:bidi w:val="0"/>
        <w:spacing w:line="560" w:lineRule="exact"/>
        <w:ind w:left="0" w:leftChars="0" w:firstLine="640" w:firstLineChars="200"/>
        <w:textAlignment w:val="auto"/>
        <w:rPr>
          <w:rFonts w:ascii="仿宋_GB2312" w:hAnsi="仿宋_GB2312" w:eastAsia="仿宋_GB2312" w:cs="仿宋_GB2312"/>
          <w:color w:val="auto"/>
          <w:sz w:val="32"/>
          <w:szCs w:val="32"/>
          <w:highlight w:val="none"/>
        </w:rPr>
      </w:pPr>
    </w:p>
    <w:p>
      <w:pPr>
        <w:keepNext w:val="0"/>
        <w:keepLines w:val="0"/>
        <w:pageBreakBefore w:val="0"/>
        <w:kinsoku/>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加快高质量发展,核心在项目,关键靠资金。项目是稳定经济增长的强支撑，是全方位推动高质量发展的硬抓手。抓项目就是抓发展，谋项目就是谋未来。</w:t>
      </w:r>
    </w:p>
    <w:p>
      <w:pPr>
        <w:keepNext w:val="0"/>
        <w:keepLines w:val="0"/>
        <w:pageBreakBefore w:val="0"/>
        <w:kinsoku/>
        <w:topLinePunct w:val="0"/>
        <w:autoSpaceDE/>
        <w:autoSpaceDN/>
        <w:bidi w:val="0"/>
        <w:spacing w:line="560" w:lineRule="exact"/>
        <w:ind w:left="0" w:leftChars="0"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eastAsia="zh-CN"/>
        </w:rPr>
        <w:t>积极</w:t>
      </w:r>
      <w:r>
        <w:rPr>
          <w:rFonts w:hint="eastAsia" w:ascii="仿宋_GB2312" w:hAnsi="仿宋_GB2312" w:eastAsia="仿宋_GB2312" w:cs="仿宋_GB2312"/>
          <w:color w:val="auto"/>
          <w:sz w:val="32"/>
          <w:szCs w:val="32"/>
          <w:highlight w:val="none"/>
        </w:rPr>
        <w:t>谋划</w:t>
      </w:r>
      <w:r>
        <w:rPr>
          <w:rFonts w:hint="eastAsia" w:ascii="仿宋_GB2312" w:hAnsi="仿宋_GB2312" w:eastAsia="仿宋_GB2312" w:cs="仿宋_GB2312"/>
          <w:color w:val="auto"/>
          <w:sz w:val="32"/>
          <w:szCs w:val="32"/>
          <w:highlight w:val="none"/>
          <w:lang w:eastAsia="zh-CN"/>
        </w:rPr>
        <w:t>争取更多上级资金</w:t>
      </w:r>
      <w:r>
        <w:rPr>
          <w:rFonts w:hint="eastAsia" w:ascii="仿宋_GB2312" w:hAnsi="仿宋_GB2312" w:eastAsia="仿宋_GB2312" w:cs="仿宋_GB2312"/>
          <w:color w:val="auto"/>
          <w:sz w:val="32"/>
          <w:szCs w:val="32"/>
          <w:highlight w:val="none"/>
        </w:rPr>
        <w:t>，我委结合中央预算内投资政策，围绕</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现代化产业体系、现代基础设施体系、新型城镇化和乡村振兴、区域协调发展、绿色发展、民生福祉、国家安全体系和能力现代化</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等8个</w:t>
      </w:r>
      <w:r>
        <w:rPr>
          <w:rFonts w:hint="eastAsia" w:ascii="Times New Roman" w:hAnsi="Times New Roman" w:eastAsia="仿宋_GB2312" w:cs="Times New Roman"/>
          <w:color w:val="auto"/>
          <w:sz w:val="32"/>
          <w:szCs w:val="32"/>
          <w:highlight w:val="none"/>
          <w:lang w:val="en-US" w:eastAsia="zh-CN"/>
        </w:rPr>
        <w:t>领域</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聚焦“水运、水利、城市地下管网及设施、</w:t>
      </w:r>
      <w:r>
        <w:rPr>
          <w:rFonts w:hint="default" w:ascii="Times New Roman" w:hAnsi="Times New Roman" w:eastAsia="仿宋_GB2312" w:cs="Times New Roman"/>
          <w:color w:val="auto"/>
          <w:sz w:val="32"/>
          <w:szCs w:val="32"/>
          <w:highlight w:val="none"/>
        </w:rPr>
        <w:t>防灾减灾能力</w:t>
      </w:r>
      <w:r>
        <w:rPr>
          <w:rFonts w:hint="eastAsia" w:eastAsia="仿宋_GB2312" w:cs="Times New Roman"/>
          <w:color w:val="auto"/>
          <w:sz w:val="32"/>
          <w:szCs w:val="32"/>
          <w:highlight w:val="none"/>
          <w:lang w:eastAsia="zh-CN"/>
        </w:rPr>
        <w:t>提升、农业、</w:t>
      </w:r>
      <w:r>
        <w:rPr>
          <w:rFonts w:hint="default" w:ascii="Times New Roman" w:hAnsi="Times New Roman" w:eastAsia="仿宋_GB2312" w:cs="Times New Roman"/>
          <w:color w:val="auto"/>
          <w:sz w:val="32"/>
          <w:szCs w:val="32"/>
          <w:highlight w:val="none"/>
          <w:lang w:eastAsia="zh-CN"/>
        </w:rPr>
        <w:t>乡村振兴</w:t>
      </w:r>
      <w:r>
        <w:rPr>
          <w:rFonts w:hint="eastAsia" w:ascii="Times New Roman" w:hAnsi="Times New Roman"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rPr>
        <w:t>重大区域发展战略建设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节能</w:t>
      </w:r>
      <w:r>
        <w:rPr>
          <w:rFonts w:hint="eastAsia" w:ascii="仿宋_GB2312" w:hAnsi="仿宋_GB2312" w:eastAsia="仿宋_GB2312" w:cs="仿宋_GB2312"/>
          <w:color w:val="auto"/>
          <w:sz w:val="32"/>
          <w:szCs w:val="32"/>
          <w:highlight w:val="none"/>
          <w:lang w:eastAsia="zh-CN"/>
        </w:rPr>
        <w:t>降</w:t>
      </w:r>
      <w:r>
        <w:rPr>
          <w:rFonts w:hint="eastAsia" w:ascii="仿宋_GB2312" w:hAnsi="仿宋_GB2312" w:eastAsia="仿宋_GB2312" w:cs="仿宋_GB2312"/>
          <w:color w:val="auto"/>
          <w:sz w:val="32"/>
          <w:szCs w:val="32"/>
          <w:highlight w:val="none"/>
        </w:rPr>
        <w:t>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污染治理</w:t>
      </w:r>
      <w:r>
        <w:rPr>
          <w:rFonts w:hint="eastAsia" w:ascii="仿宋_GB2312" w:hAnsi="仿宋_GB2312" w:eastAsia="仿宋_GB2312" w:cs="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rPr>
        <w:t>教育强国</w:t>
      </w:r>
      <w:r>
        <w:rPr>
          <w:rFonts w:hint="eastAsia" w:ascii="Times New Roman" w:hAnsi="Times New Roman" w:eastAsia="仿宋_GB2312" w:cs="Times New Roman"/>
          <w:color w:val="auto"/>
          <w:sz w:val="32"/>
          <w:szCs w:val="32"/>
          <w:highlight w:val="none"/>
          <w:lang w:eastAsia="zh-CN"/>
        </w:rPr>
        <w:t>基础设施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优质高效医疗卫生服务体系建设、</w:t>
      </w:r>
      <w:r>
        <w:rPr>
          <w:rFonts w:hint="default" w:ascii="Times New Roman" w:hAnsi="Times New Roman" w:eastAsia="仿宋_GB2312" w:cs="Times New Roman"/>
          <w:color w:val="auto"/>
          <w:sz w:val="32"/>
          <w:szCs w:val="32"/>
          <w:highlight w:val="none"/>
        </w:rPr>
        <w:t>文化保护传承利用工程</w:t>
      </w:r>
      <w:r>
        <w:rPr>
          <w:rFonts w:hint="eastAsia" w:ascii="Times New Roman" w:hAnsi="Times New Roman"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rPr>
        <w:t>积极应对人口老龄化工程和托育建设</w:t>
      </w:r>
      <w:r>
        <w:rPr>
          <w:rFonts w:hint="eastAsia" w:ascii="仿宋_GB2312" w:hAnsi="仿宋_GB2312" w:eastAsia="仿宋_GB2312" w:cs="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rPr>
        <w:t>粮食等重要农产品仓储设施</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个专项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编印了《中央预算内投资项目谋划指南（202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年版）》</w:t>
      </w:r>
      <w:r>
        <w:rPr>
          <w:rFonts w:hint="eastAsia" w:ascii="仿宋_GB2312" w:hAnsi="仿宋_GB2312" w:eastAsia="仿宋_GB2312" w:cs="仿宋_GB2312"/>
          <w:color w:val="auto"/>
          <w:sz w:val="32"/>
          <w:szCs w:val="32"/>
          <w:highlight w:val="none"/>
          <w:lang w:eastAsia="zh-CN"/>
        </w:rPr>
        <w:t>，希望</w:t>
      </w:r>
      <w:r>
        <w:rPr>
          <w:rFonts w:hint="eastAsia" w:ascii="仿宋_GB2312" w:hAnsi="仿宋_GB2312" w:eastAsia="仿宋_GB2312" w:cs="仿宋_GB2312"/>
          <w:color w:val="auto"/>
          <w:sz w:val="32"/>
          <w:szCs w:val="32"/>
          <w:highlight w:val="none"/>
        </w:rPr>
        <w:t>给大家在组织项目谋划和对上争资时提供参考</w:t>
      </w:r>
      <w:r>
        <w:rPr>
          <w:rFonts w:hint="eastAsia" w:ascii="仿宋_GB2312" w:hAnsi="仿宋_GB2312" w:eastAsia="仿宋_GB2312" w:cs="仿宋_GB2312"/>
          <w:color w:val="auto"/>
          <w:sz w:val="32"/>
          <w:szCs w:val="32"/>
          <w:highlight w:val="none"/>
          <w:lang w:eastAsia="zh-CN"/>
        </w:rPr>
        <w:t>，力争</w:t>
      </w:r>
      <w:r>
        <w:rPr>
          <w:rFonts w:hint="eastAsia" w:ascii="仿宋_GB2312" w:hAnsi="仿宋_GB2312" w:eastAsia="仿宋_GB2312" w:cs="仿宋_GB2312"/>
          <w:color w:val="auto"/>
          <w:sz w:val="32"/>
          <w:szCs w:val="32"/>
          <w:highlight w:val="none"/>
          <w:lang w:val="en-US" w:eastAsia="zh-CN"/>
        </w:rPr>
        <w:t>2025年对上争取成果</w:t>
      </w:r>
      <w:r>
        <w:rPr>
          <w:rFonts w:hint="eastAsia" w:ascii="仿宋_GB2312" w:hAnsi="仿宋_GB2312" w:eastAsia="仿宋_GB2312" w:cs="仿宋_GB2312"/>
          <w:color w:val="auto"/>
          <w:sz w:val="32"/>
          <w:szCs w:val="32"/>
          <w:highlight w:val="none"/>
          <w:lang w:eastAsia="zh-CN"/>
        </w:rPr>
        <w:t>实现</w:t>
      </w:r>
      <w:r>
        <w:rPr>
          <w:rFonts w:hint="eastAsia" w:ascii="仿宋_GB2312" w:hAnsi="仿宋_GB2312" w:eastAsia="仿宋_GB2312" w:cs="仿宋_GB2312"/>
          <w:color w:val="auto"/>
          <w:sz w:val="32"/>
          <w:szCs w:val="32"/>
          <w:highlight w:val="none"/>
          <w:lang w:val="en-US" w:eastAsia="zh-CN"/>
        </w:rPr>
        <w:t>新突破</w:t>
      </w:r>
      <w:r>
        <w:rPr>
          <w:rFonts w:hint="eastAsia" w:ascii="仿宋_GB2312" w:hAnsi="仿宋_GB2312" w:eastAsia="仿宋_GB2312" w:cs="仿宋_GB2312"/>
          <w:color w:val="auto"/>
          <w:sz w:val="32"/>
          <w:szCs w:val="32"/>
          <w:highlight w:val="none"/>
        </w:rPr>
        <w:t>。</w:t>
      </w:r>
    </w:p>
    <w:p>
      <w:pPr>
        <w:keepNext w:val="0"/>
        <w:keepLines w:val="0"/>
        <w:pageBreakBefore w:val="0"/>
        <w:kinsoku/>
        <w:topLinePunct w:val="0"/>
        <w:autoSpaceDE/>
        <w:autoSpaceDN/>
        <w:bidi w:val="0"/>
        <w:spacing w:line="560" w:lineRule="exact"/>
        <w:ind w:left="0" w:leftChars="0"/>
        <w:jc w:val="right"/>
        <w:textAlignment w:val="auto"/>
        <w:rPr>
          <w:rFonts w:ascii="仿宋_GB2312" w:hAnsi="仿宋_GB2312" w:eastAsia="仿宋_GB2312" w:cs="仿宋_GB2312"/>
          <w:b/>
          <w:bCs/>
          <w:color w:val="auto"/>
          <w:sz w:val="32"/>
          <w:szCs w:val="32"/>
          <w:highlight w:val="none"/>
        </w:rPr>
      </w:pPr>
    </w:p>
    <w:p>
      <w:pPr>
        <w:keepNext w:val="0"/>
        <w:keepLines w:val="0"/>
        <w:pageBreakBefore w:val="0"/>
        <w:kinsoku/>
        <w:wordWrap w:val="0"/>
        <w:topLinePunct w:val="0"/>
        <w:autoSpaceDE/>
        <w:autoSpaceDN/>
        <w:bidi w:val="0"/>
        <w:spacing w:line="560" w:lineRule="exact"/>
        <w:ind w:left="0" w:leftChars="0" w:firstLine="5140" w:firstLineChars="1600"/>
        <w:jc w:val="right"/>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                         黄山市发展改革委    </w:t>
      </w:r>
    </w:p>
    <w:p>
      <w:pPr>
        <w:keepNext w:val="0"/>
        <w:keepLines w:val="0"/>
        <w:pageBreakBefore w:val="0"/>
        <w:kinsoku/>
        <w:topLinePunct w:val="0"/>
        <w:autoSpaceDE/>
        <w:autoSpaceDN/>
        <w:bidi w:val="0"/>
        <w:spacing w:line="560" w:lineRule="exact"/>
        <w:ind w:left="0" w:leftChars="0" w:firstLine="5461" w:firstLineChars="1700"/>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202</w:t>
      </w: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rPr>
        <w:t>年</w:t>
      </w:r>
      <w:r>
        <w:rPr>
          <w:rFonts w:hint="default" w:ascii="仿宋_GB2312" w:hAnsi="仿宋_GB2312" w:eastAsia="仿宋_GB2312" w:cs="仿宋_GB2312"/>
          <w:b/>
          <w:bCs/>
          <w:color w:val="auto"/>
          <w:sz w:val="32"/>
          <w:szCs w:val="32"/>
          <w:highlight w:val="none"/>
          <w:lang w:val="en"/>
        </w:rPr>
        <w:t>1</w:t>
      </w:r>
      <w:r>
        <w:rPr>
          <w:rFonts w:hint="eastAsia" w:ascii="仿宋_GB2312" w:hAnsi="仿宋_GB2312" w:eastAsia="仿宋_GB2312" w:cs="仿宋_GB2312"/>
          <w:b/>
          <w:bCs/>
          <w:color w:val="auto"/>
          <w:sz w:val="32"/>
          <w:szCs w:val="32"/>
          <w:highlight w:val="none"/>
        </w:rPr>
        <w:t>月</w:t>
      </w:r>
    </w:p>
    <w:p>
      <w:pPr>
        <w:pStyle w:val="6"/>
        <w:keepNext w:val="0"/>
        <w:keepLines w:val="0"/>
        <w:pageBreakBefore w:val="0"/>
        <w:kinsoku/>
        <w:topLinePunct w:val="0"/>
        <w:autoSpaceDE/>
        <w:autoSpaceDN/>
        <w:bidi w:val="0"/>
        <w:spacing w:line="560" w:lineRule="exact"/>
        <w:ind w:left="0" w:leftChars="0"/>
        <w:textAlignment w:val="auto"/>
        <w:rPr>
          <w:rFonts w:ascii="仿宋_GB2312" w:hAnsi="仿宋_GB2312" w:eastAsia="仿宋_GB2312" w:cs="仿宋_GB2312"/>
          <w:color w:val="auto"/>
          <w:sz w:val="32"/>
          <w:highlight w:val="none"/>
        </w:rPr>
      </w:pPr>
    </w:p>
    <w:p>
      <w:pPr>
        <w:keepNext w:val="0"/>
        <w:keepLines w:val="0"/>
        <w:pageBreakBefore w:val="0"/>
        <w:kinsoku/>
        <w:topLinePunct w:val="0"/>
        <w:autoSpaceDE/>
        <w:autoSpaceDN/>
        <w:bidi w:val="0"/>
        <w:spacing w:line="560" w:lineRule="exact"/>
        <w:ind w:left="0" w:leftChars="0"/>
        <w:jc w:val="center"/>
        <w:textAlignment w:val="auto"/>
        <w:rPr>
          <w:rFonts w:ascii="仿宋_GB2312" w:hAnsi="仿宋_GB2312" w:eastAsia="仿宋_GB2312" w:cs="仿宋_GB2312"/>
          <w:b/>
          <w:bCs/>
          <w:color w:val="auto"/>
          <w:sz w:val="32"/>
          <w:szCs w:val="32"/>
          <w:highlight w:val="none"/>
        </w:rPr>
        <w:sectPr>
          <w:footerReference r:id="rId4" w:type="default"/>
          <w:pgSz w:w="11906" w:h="16838"/>
          <w:pgMar w:top="1440" w:right="1803" w:bottom="1440" w:left="1803" w:header="851" w:footer="992" w:gutter="0"/>
          <w:pgNumType w:start="1"/>
          <w:cols w:space="0" w:num="1"/>
          <w:docGrid w:type="lines" w:linePitch="317" w:charSpace="0"/>
        </w:sectPr>
      </w:pPr>
    </w:p>
    <w:sdt>
      <w:sdtPr>
        <w:rPr>
          <w:rFonts w:hint="eastAsia" w:ascii="仿宋_GB2312" w:hAnsi="仿宋_GB2312" w:eastAsia="仿宋_GB2312" w:cs="仿宋_GB2312"/>
          <w:color w:val="auto"/>
          <w:kern w:val="0"/>
          <w:sz w:val="32"/>
          <w:szCs w:val="32"/>
          <w:highlight w:val="none"/>
        </w:rPr>
        <w:id w:val="-705020640"/>
        <w:docPartObj>
          <w:docPartGallery w:val="Table of Contents"/>
          <w:docPartUnique/>
        </w:docPartObj>
      </w:sdtPr>
      <w:sdtEndPr>
        <w:rPr>
          <w:rFonts w:hint="eastAsia" w:ascii="仿宋_GB2312" w:hAnsi="仿宋_GB2312" w:eastAsia="仿宋_GB2312" w:cs="仿宋_GB2312"/>
          <w:color w:val="auto"/>
          <w:kern w:val="0"/>
          <w:sz w:val="32"/>
          <w:szCs w:val="32"/>
          <w:highlight w:val="none"/>
        </w:rPr>
      </w:sdtEndPr>
      <w:sdtContent>
        <w:sdt>
          <w:sdtPr>
            <w:rPr>
              <w:rFonts w:hint="eastAsia" w:ascii="仿宋_GB2312" w:hAnsi="仿宋_GB2312" w:eastAsia="仿宋_GB2312" w:cs="仿宋_GB2312"/>
              <w:color w:val="auto"/>
              <w:kern w:val="0"/>
              <w:sz w:val="32"/>
              <w:szCs w:val="32"/>
              <w:highlight w:val="none"/>
            </w:rPr>
            <w:id w:val="-705020640"/>
            <w:docPartObj>
              <w:docPartGallery w:val="Table of Contents"/>
              <w:docPartUnique/>
            </w:docPartObj>
          </w:sdtPr>
          <w:sdtEndPr>
            <w:rPr>
              <w:rFonts w:hint="eastAsia" w:ascii="仿宋_GB2312" w:hAnsi="仿宋_GB2312" w:eastAsia="仿宋_GB2312" w:cs="仿宋_GB2312"/>
              <w:color w:val="auto"/>
              <w:kern w:val="0"/>
              <w:sz w:val="32"/>
              <w:szCs w:val="32"/>
              <w:highlight w:val="none"/>
            </w:rPr>
          </w:sdtEndPr>
          <w:sdtContent>
            <w:p>
              <w:pPr>
                <w:keepNext w:val="0"/>
                <w:keepLines w:val="0"/>
                <w:pageBreakBefore w:val="0"/>
                <w:kinsoku/>
                <w:wordWrap/>
                <w:overflowPunct/>
                <w:topLinePunct w:val="0"/>
                <w:autoSpaceDE/>
                <w:autoSpaceDN/>
                <w:bidi w:val="0"/>
                <w:adjustRightInd/>
                <w:snapToGrid/>
                <w:spacing w:line="520" w:lineRule="exact"/>
                <w:ind w:left="0" w:leftChars="0"/>
                <w:jc w:val="center"/>
                <w:textAlignment w:val="auto"/>
                <w:rPr>
                  <w:rFonts w:hint="eastAsia"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rPr>
                <w:t>目    录</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color w:val="auto"/>
                  <w:highlight w:val="none"/>
                </w:rPr>
              </w:pPr>
            </w:p>
            <w:p>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"_Toc22506"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一、铁路专项</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t>1</w:t>
              </w:r>
            </w:p>
            <w:p>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eastAsia"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"_Toc4852"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二、</w:t>
              </w:r>
              <w:r>
                <w:rPr>
                  <w:rFonts w:hint="eastAsia" w:eastAsia="仿宋_GB2312" w:cs="Times New Roman"/>
                  <w:color w:val="auto"/>
                  <w:sz w:val="32"/>
                  <w:szCs w:val="32"/>
                  <w:highlight w:val="none"/>
                  <w:lang w:eastAsia="zh-CN"/>
                </w:rPr>
                <w:t>水运专项</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lang w:val="en-US" w:eastAsia="zh-CN"/>
                </w:rPr>
                <w:t>2</w:t>
              </w:r>
            </w:p>
            <w:p>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eastAsia"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"_Toc21990"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三、</w:t>
              </w:r>
              <w:r>
                <w:rPr>
                  <w:rFonts w:hint="eastAsia" w:eastAsia="仿宋_GB2312" w:cs="Times New Roman"/>
                  <w:color w:val="auto"/>
                  <w:sz w:val="32"/>
                  <w:szCs w:val="32"/>
                  <w:highlight w:val="none"/>
                  <w:lang w:eastAsia="zh-CN"/>
                </w:rPr>
                <w:t>水利专项</w:t>
              </w:r>
              <w:r>
                <w:rPr>
                  <w:rFonts w:hint="default" w:ascii="Times New Roman" w:hAnsi="Times New Roman" w:eastAsia="仿宋_GB2312" w:cs="Times New Roman"/>
                  <w:color w:val="auto"/>
                  <w:sz w:val="32"/>
                  <w:szCs w:val="32"/>
                  <w:highlight w:val="none"/>
                </w:rPr>
                <w:tab/>
              </w:r>
              <w:r>
                <w:rPr>
                  <w:rFonts w:hint="eastAsia" w:eastAsia="仿宋_GB2312" w:cs="Times New Roman"/>
                  <w:color w:val="auto"/>
                  <w:sz w:val="32"/>
                  <w:szCs w:val="32"/>
                  <w:highlight w:val="none"/>
                  <w:lang w:val="en-US" w:eastAsia="zh-CN"/>
                </w:rPr>
                <w:t>3</w:t>
              </w:r>
            </w:p>
            <w:p>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eastAsia"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"_Toc23510"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四、气象基础设施专项</w:t>
              </w:r>
              <w:r>
                <w:rPr>
                  <w:rFonts w:hint="default" w:ascii="Times New Roman" w:hAnsi="Times New Roman" w:eastAsia="仿宋_GB2312" w:cs="Times New Roman"/>
                  <w:color w:val="auto"/>
                  <w:sz w:val="32"/>
                  <w:szCs w:val="32"/>
                  <w:highlight w:val="none"/>
                </w:rPr>
                <w:tab/>
              </w:r>
              <w:r>
                <w:rPr>
                  <w:rFonts w:hint="eastAsia" w:eastAsia="仿宋_GB2312" w:cs="Times New Roman"/>
                  <w:color w:val="auto"/>
                  <w:sz w:val="32"/>
                  <w:szCs w:val="32"/>
                  <w:highlight w:val="none"/>
                  <w:lang w:val="en-US" w:eastAsia="zh-CN"/>
                </w:rPr>
                <w:t>4</w:t>
              </w:r>
            </w:p>
            <w:p>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"_Toc26010" </w:instrText>
              </w:r>
              <w:r>
                <w:rPr>
                  <w:rFonts w:hint="default" w:ascii="Times New Roman" w:hAnsi="Times New Roman" w:eastAsia="仿宋_GB2312" w:cs="Times New Roman"/>
                  <w:color w:val="auto"/>
                  <w:sz w:val="32"/>
                  <w:szCs w:val="32"/>
                  <w:highlight w:val="none"/>
                </w:rPr>
                <w:fldChar w:fldCharType="separate"/>
              </w:r>
              <w:r>
                <w:rPr>
                  <w:rFonts w:hint="eastAsia"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、城乡冷链和国家物流枢纽建设专项</w:t>
              </w:r>
              <w:r>
                <w:rPr>
                  <w:rFonts w:hint="default" w:ascii="Times New Roman" w:hAnsi="Times New Roman" w:eastAsia="仿宋_GB2312" w:cs="Times New Roman"/>
                  <w:color w:val="auto"/>
                  <w:sz w:val="32"/>
                  <w:szCs w:val="32"/>
                  <w:highlight w:val="none"/>
                </w:rPr>
                <w:tab/>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"_Toc8911" </w:instrText>
              </w:r>
              <w:r>
                <w:rPr>
                  <w:rFonts w:hint="default" w:ascii="Times New Roman" w:hAnsi="Times New Roman" w:eastAsia="仿宋_GB2312" w:cs="Times New Roman"/>
                  <w:color w:val="auto"/>
                  <w:sz w:val="32"/>
                  <w:szCs w:val="32"/>
                  <w:highlight w:val="none"/>
                </w:rPr>
                <w:fldChar w:fldCharType="separate"/>
              </w:r>
              <w:r>
                <w:rPr>
                  <w:rFonts w:hint="eastAsia"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、防灾减灾能力</w:t>
              </w:r>
              <w:r>
                <w:rPr>
                  <w:rFonts w:hint="eastAsia" w:eastAsia="仿宋_GB2312" w:cs="Times New Roman"/>
                  <w:color w:val="auto"/>
                  <w:sz w:val="32"/>
                  <w:szCs w:val="32"/>
                  <w:highlight w:val="none"/>
                  <w:lang w:eastAsia="zh-CN"/>
                </w:rPr>
                <w:t>提升</w:t>
              </w:r>
              <w:r>
                <w:rPr>
                  <w:rFonts w:hint="default" w:ascii="Times New Roman" w:hAnsi="Times New Roman" w:eastAsia="仿宋_GB2312" w:cs="Times New Roman"/>
                  <w:color w:val="auto"/>
                  <w:sz w:val="32"/>
                  <w:szCs w:val="32"/>
                  <w:highlight w:val="none"/>
                </w:rPr>
                <w:t>专项</w:t>
              </w:r>
              <w:r>
                <w:rPr>
                  <w:rFonts w:hint="default" w:ascii="Times New Roman" w:hAnsi="Times New Roman" w:eastAsia="仿宋_GB2312" w:cs="Times New Roman"/>
                  <w:color w:val="auto"/>
                  <w:sz w:val="32"/>
                  <w:szCs w:val="32"/>
                  <w:highlight w:val="none"/>
                </w:rPr>
                <w:tab/>
              </w:r>
              <w:r>
                <w:rPr>
                  <w:rFonts w:hint="eastAsia"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"_Toc9803" </w:instrText>
              </w:r>
              <w:r>
                <w:rPr>
                  <w:rFonts w:hint="default" w:ascii="Times New Roman" w:hAnsi="Times New Roman" w:eastAsia="仿宋_GB2312" w:cs="Times New Roman"/>
                  <w:color w:val="auto"/>
                  <w:sz w:val="32"/>
                  <w:szCs w:val="32"/>
                  <w:highlight w:val="none"/>
                </w:rPr>
                <w:fldChar w:fldCharType="separate"/>
              </w:r>
              <w:r>
                <w:rPr>
                  <w:rFonts w:hint="eastAsia" w:eastAsia="仿宋_GB2312" w:cs="Times New Roman"/>
                  <w:color w:val="auto"/>
                  <w:sz w:val="32"/>
                  <w:szCs w:val="32"/>
                  <w:highlight w:val="none"/>
                  <w:lang w:eastAsia="zh-CN"/>
                </w:rPr>
                <w:t>七</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w w:val="90"/>
                  <w:sz w:val="32"/>
                  <w:szCs w:val="32"/>
                  <w:highlight w:val="none"/>
                </w:rPr>
                <w:t>城市</w:t>
              </w:r>
              <w:r>
                <w:rPr>
                  <w:rFonts w:hint="eastAsia" w:eastAsia="仿宋_GB2312" w:cs="Times New Roman"/>
                  <w:color w:val="auto"/>
                  <w:w w:val="90"/>
                  <w:sz w:val="32"/>
                  <w:szCs w:val="32"/>
                  <w:highlight w:val="none"/>
                  <w:lang w:eastAsia="zh-CN"/>
                </w:rPr>
                <w:t>地下管网及设施</w:t>
              </w:r>
              <w:r>
                <w:rPr>
                  <w:rFonts w:hint="default" w:ascii="Times New Roman" w:hAnsi="Times New Roman" w:eastAsia="仿宋_GB2312" w:cs="Times New Roman"/>
                  <w:color w:val="auto"/>
                  <w:w w:val="90"/>
                  <w:sz w:val="32"/>
                  <w:szCs w:val="32"/>
                  <w:highlight w:val="none"/>
                </w:rPr>
                <w:t>专项</w:t>
              </w:r>
              <w:r>
                <w:rPr>
                  <w:rFonts w:hint="default" w:ascii="Times New Roman" w:hAnsi="Times New Roman" w:eastAsia="仿宋_GB2312" w:cs="Times New Roman"/>
                  <w:color w:val="auto"/>
                  <w:sz w:val="32"/>
                  <w:szCs w:val="32"/>
                  <w:highlight w:val="none"/>
                </w:rPr>
                <w:tab/>
              </w:r>
              <w:r>
                <w:rPr>
                  <w:rFonts w:hint="eastAsia"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default" w:ascii="Times New Roman" w:hAnsi="Times New Roman" w:eastAsia="仿宋_GB2312" w:cs="Times New Roman"/>
                  <w:color w:val="auto"/>
                  <w:sz w:val="32"/>
                  <w:szCs w:val="32"/>
                  <w:highlight w:val="none"/>
                  <w:lang w:val="en" w:eastAsia="zh-CN"/>
                </w:rPr>
              </w:pPr>
              <w:r>
                <w:rPr>
                  <w:rFonts w:hint="eastAsia" w:eastAsia="仿宋_GB2312" w:cs="Times New Roman"/>
                  <w:color w:val="auto"/>
                  <w:sz w:val="32"/>
                  <w:szCs w:val="32"/>
                  <w:highlight w:val="none"/>
                  <w:lang w:eastAsia="zh-CN"/>
                </w:rPr>
                <w:t>八、</w:t>
              </w:r>
              <w:r>
                <w:rPr>
                  <w:rFonts w:hint="default" w:ascii="Times New Roman" w:hAnsi="Times New Roman" w:eastAsia="仿宋_GB2312" w:cs="Times New Roman"/>
                  <w:color w:val="auto"/>
                  <w:sz w:val="32"/>
                  <w:szCs w:val="32"/>
                  <w:highlight w:val="none"/>
                </w:rPr>
                <w:t>保障性安居工程配套基础设施专项</w:t>
              </w:r>
              <w:r>
                <w:rPr>
                  <w:rFonts w:hint="default" w:ascii="Times New Roman" w:hAnsi="Times New Roman" w:eastAsia="仿宋_GB2312" w:cs="Times New Roman"/>
                  <w:color w:val="auto"/>
                  <w:sz w:val="32"/>
                  <w:szCs w:val="32"/>
                  <w:highlight w:val="none"/>
                </w:rPr>
                <w:tab/>
              </w:r>
              <w:r>
                <w:rPr>
                  <w:rFonts w:hint="default" w:eastAsia="仿宋_GB2312" w:cs="Times New Roman"/>
                  <w:color w:val="auto"/>
                  <w:sz w:val="32"/>
                  <w:szCs w:val="32"/>
                  <w:highlight w:val="none"/>
                  <w:lang w:val="en" w:eastAsia="zh-CN"/>
                </w:rPr>
                <w:t>8</w:t>
              </w:r>
            </w:p>
            <w:p>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"_Toc7395" </w:instrText>
              </w:r>
              <w:r>
                <w:rPr>
                  <w:rFonts w:hint="default" w:ascii="Times New Roman" w:hAnsi="Times New Roman" w:eastAsia="仿宋_GB2312" w:cs="Times New Roman"/>
                  <w:color w:val="auto"/>
                  <w:sz w:val="32"/>
                  <w:szCs w:val="32"/>
                  <w:highlight w:val="none"/>
                </w:rPr>
                <w:fldChar w:fldCharType="separate"/>
              </w:r>
              <w:r>
                <w:rPr>
                  <w:rFonts w:hint="eastAsia" w:eastAsia="仿宋_GB2312" w:cs="Times New Roman"/>
                  <w:color w:val="auto"/>
                  <w:sz w:val="32"/>
                  <w:szCs w:val="32"/>
                  <w:highlight w:val="none"/>
                  <w:lang w:eastAsia="zh-CN"/>
                </w:rPr>
                <w:t>九</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eastAsia="zh-CN"/>
                </w:rPr>
                <w:t>农业</w:t>
              </w:r>
              <w:r>
                <w:rPr>
                  <w:rFonts w:hint="default" w:ascii="Times New Roman" w:hAnsi="Times New Roman" w:eastAsia="仿宋_GB2312" w:cs="Times New Roman"/>
                  <w:color w:val="auto"/>
                  <w:sz w:val="32"/>
                  <w:szCs w:val="32"/>
                  <w:highlight w:val="none"/>
                </w:rPr>
                <w:t>专项</w:t>
              </w:r>
              <w:r>
                <w:rPr>
                  <w:rFonts w:hint="default" w:ascii="Times New Roman" w:hAnsi="Times New Roman" w:eastAsia="仿宋_GB2312" w:cs="Times New Roman"/>
                  <w:color w:val="auto"/>
                  <w:sz w:val="32"/>
                  <w:szCs w:val="32"/>
                  <w:highlight w:val="none"/>
                </w:rPr>
                <w:tab/>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fldChar w:fldCharType="end"/>
              </w:r>
              <w:r>
                <w:rPr>
                  <w:rFonts w:hint="eastAsia" w:eastAsia="仿宋_GB2312" w:cs="Times New Roman"/>
                  <w:color w:val="auto"/>
                  <w:sz w:val="32"/>
                  <w:szCs w:val="32"/>
                  <w:highlight w:val="none"/>
                  <w:lang w:val="en-US" w:eastAsia="zh-CN"/>
                </w:rPr>
                <w:t>0</w:t>
              </w:r>
            </w:p>
            <w:p>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"_Toc25488" </w:instrText>
              </w:r>
              <w:r>
                <w:rPr>
                  <w:rFonts w:hint="default" w:ascii="Times New Roman" w:hAnsi="Times New Roman" w:eastAsia="仿宋_GB2312" w:cs="Times New Roman"/>
                  <w:color w:val="auto"/>
                  <w:sz w:val="32"/>
                  <w:szCs w:val="32"/>
                  <w:highlight w:val="none"/>
                </w:rPr>
                <w:fldChar w:fldCharType="separate"/>
              </w:r>
              <w:r>
                <w:rPr>
                  <w:rFonts w:hint="eastAsia" w:eastAsia="仿宋_GB2312" w:cs="Times New Roman"/>
                  <w:color w:val="auto"/>
                  <w:sz w:val="32"/>
                  <w:szCs w:val="32"/>
                  <w:highlight w:val="none"/>
                  <w:lang w:eastAsia="zh-CN"/>
                </w:rPr>
                <w:t>十</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乡村振兴</w:t>
              </w:r>
              <w:r>
                <w:rPr>
                  <w:rFonts w:hint="default" w:ascii="Times New Roman" w:hAnsi="Times New Roman" w:eastAsia="仿宋_GB2312" w:cs="Times New Roman"/>
                  <w:color w:val="auto"/>
                  <w:sz w:val="32"/>
                  <w:szCs w:val="32"/>
                  <w:highlight w:val="none"/>
                </w:rPr>
                <w:t>专项</w:t>
              </w:r>
              <w:r>
                <w:rPr>
                  <w:rFonts w:hint="default" w:ascii="Times New Roman" w:hAnsi="Times New Roman" w:eastAsia="仿宋_GB2312" w:cs="Times New Roman"/>
                  <w:color w:val="auto"/>
                  <w:sz w:val="32"/>
                  <w:szCs w:val="32"/>
                  <w:highlight w:val="none"/>
                </w:rPr>
                <w:tab/>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fldChar w:fldCharType="end"/>
              </w:r>
              <w:r>
                <w:rPr>
                  <w:rFonts w:hint="eastAsia" w:eastAsia="仿宋_GB2312" w:cs="Times New Roman"/>
                  <w:color w:val="auto"/>
                  <w:sz w:val="32"/>
                  <w:szCs w:val="32"/>
                  <w:highlight w:val="none"/>
                  <w:lang w:val="en-US" w:eastAsia="zh-CN"/>
                </w:rPr>
                <w:t>3</w:t>
              </w:r>
            </w:p>
            <w:p>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"_Toc10934" </w:instrText>
              </w:r>
              <w:r>
                <w:rPr>
                  <w:rFonts w:hint="default" w:ascii="Times New Roman" w:hAnsi="Times New Roman" w:eastAsia="仿宋_GB2312" w:cs="Times New Roman"/>
                  <w:color w:val="auto"/>
                  <w:sz w:val="32"/>
                  <w:szCs w:val="32"/>
                  <w:highlight w:val="none"/>
                </w:rPr>
                <w:fldChar w:fldCharType="separate"/>
              </w:r>
              <w:r>
                <w:rPr>
                  <w:rFonts w:hint="eastAsia" w:eastAsia="仿宋_GB2312" w:cs="Times New Roman"/>
                  <w:color w:val="auto"/>
                  <w:sz w:val="32"/>
                  <w:szCs w:val="32"/>
                  <w:highlight w:val="none"/>
                  <w:lang w:eastAsia="zh-CN"/>
                </w:rPr>
                <w:t>十一</w:t>
              </w:r>
              <w:r>
                <w:rPr>
                  <w:rFonts w:hint="default" w:ascii="Times New Roman" w:hAnsi="Times New Roman" w:eastAsia="仿宋_GB2312" w:cs="Times New Roman"/>
                  <w:color w:val="auto"/>
                  <w:sz w:val="32"/>
                  <w:szCs w:val="32"/>
                  <w:highlight w:val="none"/>
                </w:rPr>
                <w:t>、以工代赈示范专项</w:t>
              </w:r>
              <w:r>
                <w:rPr>
                  <w:rFonts w:hint="default" w:ascii="Times New Roman" w:hAnsi="Times New Roman" w:eastAsia="仿宋_GB2312" w:cs="Times New Roman"/>
                  <w:color w:val="auto"/>
                  <w:sz w:val="32"/>
                  <w:szCs w:val="32"/>
                  <w:highlight w:val="none"/>
                </w:rPr>
                <w:tab/>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fldChar w:fldCharType="end"/>
              </w:r>
              <w:r>
                <w:rPr>
                  <w:rFonts w:hint="eastAsia" w:eastAsia="仿宋_GB2312" w:cs="Times New Roman"/>
                  <w:color w:val="auto"/>
                  <w:sz w:val="32"/>
                  <w:szCs w:val="32"/>
                  <w:highlight w:val="none"/>
                  <w:lang w:val="en-US" w:eastAsia="zh-CN"/>
                </w:rPr>
                <w:t>5</w:t>
              </w:r>
            </w:p>
            <w:p>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eastAsia="zh-CN"/>
                </w:rPr>
                <w:t>十二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w w:val="95"/>
                  <w:sz w:val="32"/>
                  <w:szCs w:val="32"/>
                  <w:highlight w:val="none"/>
                </w:rPr>
                <w:t>重大区域发展战略建设专项</w:t>
              </w:r>
              <w:r>
                <w:rPr>
                  <w:rFonts w:hint="default" w:ascii="Times New Roman" w:hAnsi="Times New Roman" w:eastAsia="仿宋_GB2312" w:cs="Times New Roman"/>
                  <w:color w:val="auto"/>
                  <w:w w:val="80"/>
                  <w:sz w:val="32"/>
                  <w:szCs w:val="32"/>
                  <w:highlight w:val="none"/>
                  <w:lang w:eastAsia="zh-CN"/>
                </w:rPr>
                <w:t>（</w:t>
              </w:r>
              <w:r>
                <w:rPr>
                  <w:rFonts w:hint="default" w:ascii="Times New Roman" w:hAnsi="Times New Roman" w:eastAsia="仿宋_GB2312" w:cs="Times New Roman"/>
                  <w:color w:val="auto"/>
                  <w:w w:val="80"/>
                  <w:sz w:val="32"/>
                  <w:szCs w:val="32"/>
                  <w:highlight w:val="none"/>
                </w:rPr>
                <w:t>长三角一体化发展方向</w:t>
              </w:r>
              <w:r>
                <w:rPr>
                  <w:rFonts w:hint="default" w:ascii="Times New Roman" w:hAnsi="Times New Roman" w:eastAsia="仿宋_GB2312" w:cs="Times New Roman"/>
                  <w:color w:val="auto"/>
                  <w:w w:val="80"/>
                  <w:sz w:val="32"/>
                  <w:szCs w:val="32"/>
                  <w:highlight w:val="none"/>
                  <w:lang w:eastAsia="zh-CN"/>
                </w:rPr>
                <w:t>）</w:t>
              </w:r>
              <w:r>
                <w:rPr>
                  <w:rFonts w:hint="default" w:ascii="Times New Roman" w:hAnsi="Times New Roman" w:eastAsia="仿宋_GB2312" w:cs="Times New Roman"/>
                  <w:color w:val="auto"/>
                  <w:sz w:val="32"/>
                  <w:szCs w:val="32"/>
                  <w:highlight w:val="none"/>
                </w:rPr>
                <w:tab/>
              </w:r>
              <w:r>
                <w:rPr>
                  <w:rFonts w:hint="eastAsia" w:eastAsia="仿宋_GB2312" w:cs="Times New Roman"/>
                  <w:color w:val="auto"/>
                  <w:sz w:val="32"/>
                  <w:szCs w:val="32"/>
                  <w:highlight w:val="none"/>
                  <w:lang w:val="en-US" w:eastAsia="zh-CN"/>
                </w:rPr>
                <w:t>16</w:t>
              </w:r>
            </w:p>
            <w:p>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"_Toc3565"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十</w:t>
              </w:r>
              <w:r>
                <w:rPr>
                  <w:rFonts w:hint="eastAsia"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、节能</w:t>
              </w:r>
              <w:r>
                <w:rPr>
                  <w:rFonts w:hint="eastAsia" w:eastAsia="仿宋_GB2312" w:cs="Times New Roman"/>
                  <w:color w:val="auto"/>
                  <w:sz w:val="32"/>
                  <w:szCs w:val="32"/>
                  <w:highlight w:val="none"/>
                  <w:lang w:eastAsia="zh-CN"/>
                </w:rPr>
                <w:t>降</w:t>
              </w:r>
              <w:r>
                <w:rPr>
                  <w:rFonts w:hint="default" w:ascii="Times New Roman" w:hAnsi="Times New Roman" w:eastAsia="仿宋_GB2312" w:cs="Times New Roman"/>
                  <w:color w:val="auto"/>
                  <w:sz w:val="32"/>
                  <w:szCs w:val="32"/>
                  <w:highlight w:val="none"/>
                </w:rPr>
                <w:t>碳专项</w:t>
              </w:r>
              <w:r>
                <w:rPr>
                  <w:rFonts w:hint="default" w:ascii="Times New Roman" w:hAnsi="Times New Roman" w:eastAsia="仿宋_GB2312" w:cs="Times New Roman"/>
                  <w:color w:val="auto"/>
                  <w:sz w:val="32"/>
                  <w:szCs w:val="32"/>
                  <w:highlight w:val="none"/>
                </w:rPr>
                <w:tab/>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fldChar w:fldCharType="end"/>
              </w:r>
              <w:r>
                <w:rPr>
                  <w:rFonts w:hint="eastAsia" w:eastAsia="仿宋_GB2312" w:cs="Times New Roman"/>
                  <w:color w:val="auto"/>
                  <w:sz w:val="32"/>
                  <w:szCs w:val="32"/>
                  <w:highlight w:val="none"/>
                  <w:lang w:val="en-US" w:eastAsia="zh-CN"/>
                </w:rPr>
                <w:t>7</w:t>
              </w:r>
            </w:p>
            <w:p>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"_Toc1080"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十</w:t>
              </w:r>
              <w:r>
                <w:rPr>
                  <w:rFonts w:hint="eastAsia"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、污染治理专项</w:t>
              </w:r>
              <w:r>
                <w:rPr>
                  <w:rFonts w:hint="default" w:ascii="Times New Roman" w:hAnsi="Times New Roman" w:eastAsia="仿宋_GB2312" w:cs="Times New Roman"/>
                  <w:color w:val="auto"/>
                  <w:sz w:val="32"/>
                  <w:szCs w:val="32"/>
                  <w:highlight w:val="none"/>
                </w:rPr>
                <w:tab/>
              </w:r>
              <w:r>
                <w:rPr>
                  <w:rFonts w:hint="eastAsia" w:eastAsia="仿宋_GB2312" w:cs="Times New Roman"/>
                  <w:color w:val="auto"/>
                  <w:sz w:val="32"/>
                  <w:szCs w:val="32"/>
                  <w:highlight w:val="none"/>
                  <w:lang w:val="en-US" w:eastAsia="zh-CN"/>
                </w:rPr>
                <w:t>18</w:t>
              </w:r>
              <w:r>
                <w:rPr>
                  <w:rFonts w:hint="default" w:ascii="Times New Roman" w:hAnsi="Times New Roman" w:eastAsia="仿宋_GB2312" w:cs="Times New Roman"/>
                  <w:color w:val="auto"/>
                  <w:sz w:val="32"/>
                  <w:szCs w:val="32"/>
                  <w:highlight w:val="none"/>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"_Toc18587"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十</w:t>
              </w:r>
              <w:r>
                <w:rPr>
                  <w:rFonts w:hint="eastAsia"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、生态保护修复专项</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fldChar w:fldCharType="end"/>
              </w:r>
              <w:r>
                <w:rPr>
                  <w:rFonts w:hint="eastAsia" w:eastAsia="仿宋_GB2312" w:cs="Times New Roman"/>
                  <w:color w:val="auto"/>
                  <w:sz w:val="32"/>
                  <w:szCs w:val="32"/>
                  <w:highlight w:val="none"/>
                  <w:lang w:val="en-US" w:eastAsia="zh-CN"/>
                </w:rPr>
                <w:t>19</w:t>
              </w:r>
            </w:p>
            <w:p>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"_Toc32183" </w:instrText>
              </w:r>
              <w:r>
                <w:rPr>
                  <w:rFonts w:hint="default" w:ascii="Times New Roman" w:hAnsi="Times New Roman" w:eastAsia="仿宋_GB2312" w:cs="Times New Roman"/>
                  <w:color w:val="auto"/>
                  <w:sz w:val="32"/>
                  <w:szCs w:val="32"/>
                  <w:highlight w:val="none"/>
                </w:rPr>
                <w:fldChar w:fldCharType="separate"/>
              </w:r>
              <w:r>
                <w:rPr>
                  <w:rFonts w:hint="eastAsia" w:eastAsia="仿宋_GB2312" w:cs="Times New Roman"/>
                  <w:color w:val="auto"/>
                  <w:sz w:val="32"/>
                  <w:szCs w:val="32"/>
                  <w:highlight w:val="none"/>
                  <w:lang w:eastAsia="zh-CN"/>
                </w:rPr>
                <w:t>十六</w:t>
              </w:r>
              <w:r>
                <w:rPr>
                  <w:rFonts w:hint="default" w:ascii="Times New Roman" w:hAnsi="Times New Roman" w:eastAsia="仿宋_GB2312" w:cs="Times New Roman"/>
                  <w:color w:val="auto"/>
                  <w:sz w:val="32"/>
                  <w:szCs w:val="32"/>
                  <w:highlight w:val="none"/>
                </w:rPr>
                <w:t>、重点流域水环境综合治理专项</w:t>
              </w:r>
              <w:r>
                <w:rPr>
                  <w:rFonts w:hint="default" w:ascii="Times New Roman" w:hAnsi="Times New Roman" w:eastAsia="仿宋_GB2312" w:cs="Times New Roman"/>
                  <w:color w:val="auto"/>
                  <w:sz w:val="32"/>
                  <w:szCs w:val="32"/>
                  <w:highlight w:val="none"/>
                </w:rPr>
                <w:tab/>
              </w: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fldChar w:fldCharType="end"/>
              </w:r>
              <w:r>
                <w:rPr>
                  <w:rFonts w:hint="eastAsia" w:eastAsia="仿宋_GB2312" w:cs="Times New Roman"/>
                  <w:color w:val="auto"/>
                  <w:sz w:val="32"/>
                  <w:szCs w:val="32"/>
                  <w:highlight w:val="none"/>
                  <w:lang w:val="en-US" w:eastAsia="zh-CN"/>
                </w:rPr>
                <w:t>2</w:t>
              </w:r>
            </w:p>
            <w:p>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"_Toc28123"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十</w:t>
              </w:r>
              <w:r>
                <w:rPr>
                  <w:rFonts w:hint="eastAsia" w:eastAsia="仿宋_GB2312" w:cs="Times New Roman"/>
                  <w:color w:val="auto"/>
                  <w:sz w:val="32"/>
                  <w:szCs w:val="32"/>
                  <w:highlight w:val="none"/>
                  <w:lang w:eastAsia="zh-CN"/>
                </w:rPr>
                <w:t>七</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"_Toc87"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教育强国基础设施建设工程专项</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fldChar w:fldCharType="end"/>
              </w:r>
              <w:r>
                <w:rPr>
                  <w:rFonts w:hint="eastAsia" w:eastAsia="仿宋_GB2312" w:cs="Times New Roman"/>
                  <w:color w:val="auto"/>
                  <w:sz w:val="32"/>
                  <w:szCs w:val="32"/>
                  <w:highlight w:val="none"/>
                  <w:lang w:val="en-US" w:eastAsia="zh-CN"/>
                </w:rPr>
                <w:t>23</w:t>
              </w:r>
            </w:p>
            <w:p>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"_Toc17227"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十</w:t>
              </w:r>
              <w:r>
                <w:rPr>
                  <w:rFonts w:hint="eastAsia" w:eastAsia="仿宋_GB2312" w:cs="Times New Roman"/>
                  <w:color w:val="auto"/>
                  <w:sz w:val="32"/>
                  <w:szCs w:val="32"/>
                  <w:highlight w:val="none"/>
                  <w:lang w:eastAsia="zh-CN"/>
                </w:rPr>
                <w:t>八</w:t>
              </w:r>
              <w:r>
                <w:rPr>
                  <w:rFonts w:hint="default" w:ascii="Times New Roman" w:hAnsi="Times New Roman" w:eastAsia="仿宋_GB2312" w:cs="Times New Roman"/>
                  <w:color w:val="auto"/>
                  <w:sz w:val="32"/>
                  <w:szCs w:val="32"/>
                  <w:highlight w:val="none"/>
                </w:rPr>
                <w:t>、教育强国基础设施建设工程</w:t>
              </w:r>
              <w:r>
                <w:rPr>
                  <w:rFonts w:hint="default" w:ascii="Times New Roman" w:hAnsi="Times New Roman" w:eastAsia="仿宋_GB2312" w:cs="Times New Roman"/>
                  <w:color w:val="auto"/>
                  <w:w w:val="80"/>
                  <w:sz w:val="32"/>
                  <w:szCs w:val="32"/>
                  <w:highlight w:val="none"/>
                </w:rPr>
                <w:t>（公共实训基地方向）</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fldChar w:fldCharType="end"/>
              </w:r>
              <w:r>
                <w:rPr>
                  <w:rFonts w:hint="eastAsia" w:eastAsia="仿宋_GB2312" w:cs="Times New Roman"/>
                  <w:color w:val="auto"/>
                  <w:sz w:val="32"/>
                  <w:szCs w:val="32"/>
                  <w:highlight w:val="none"/>
                  <w:lang w:val="en-US" w:eastAsia="zh-CN"/>
                </w:rPr>
                <w:t>4</w:t>
              </w:r>
            </w:p>
            <w:p>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"_Toc13717" </w:instrText>
              </w:r>
              <w:r>
                <w:rPr>
                  <w:rFonts w:hint="default" w:ascii="Times New Roman" w:hAnsi="Times New Roman" w:eastAsia="仿宋_GB2312" w:cs="Times New Roman"/>
                  <w:color w:val="auto"/>
                  <w:sz w:val="32"/>
                  <w:szCs w:val="32"/>
                  <w:highlight w:val="none"/>
                </w:rPr>
                <w:fldChar w:fldCharType="separate"/>
              </w:r>
              <w:r>
                <w:rPr>
                  <w:rFonts w:hint="eastAsia" w:eastAsia="仿宋_GB2312" w:cs="Times New Roman"/>
                  <w:color w:val="auto"/>
                  <w:sz w:val="32"/>
                  <w:szCs w:val="32"/>
                  <w:highlight w:val="none"/>
                  <w:lang w:eastAsia="zh-CN"/>
                </w:rPr>
                <w:t>十九</w:t>
              </w:r>
              <w:r>
                <w:rPr>
                  <w:rFonts w:hint="default" w:ascii="Times New Roman" w:hAnsi="Times New Roman" w:eastAsia="仿宋_GB2312" w:cs="Times New Roman"/>
                  <w:color w:val="auto"/>
                  <w:sz w:val="32"/>
                  <w:szCs w:val="32"/>
                  <w:highlight w:val="none"/>
                </w:rPr>
                <w:t>、优质高效医疗卫生服务体系建设专项</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t>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"_Toc25079"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二十、文化保护传承利用工程专项</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t>2</w:t>
              </w:r>
              <w:r>
                <w:rPr>
                  <w:rFonts w:hint="eastAsia"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"_Toc29954"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二十</w:t>
              </w:r>
              <w:r>
                <w:rPr>
                  <w:rFonts w:hint="eastAsia"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、社会服务设施建设支持工程专项</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t>2</w:t>
              </w:r>
              <w:r>
                <w:rPr>
                  <w:rFonts w:hint="eastAsia"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"_Toc19838"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二十</w:t>
              </w:r>
              <w:r>
                <w:rPr>
                  <w:rFonts w:hint="eastAsia"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"_Toc16545"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积极应对人口老龄化工程和托育建设专项</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rPr>
                <w:fldChar w:fldCharType="end"/>
              </w:r>
              <w:r>
                <w:rPr>
                  <w:rFonts w:hint="eastAsia" w:eastAsia="仿宋_GB2312" w:cs="Times New Roman"/>
                  <w:color w:val="auto"/>
                  <w:sz w:val="32"/>
                  <w:szCs w:val="32"/>
                  <w:highlight w:val="none"/>
                  <w:lang w:val="en-US" w:eastAsia="zh-CN"/>
                </w:rPr>
                <w:t>9</w:t>
              </w:r>
            </w:p>
            <w:p>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color w:val="auto"/>
                  <w:highlight w:val="none"/>
                </w:rPr>
                <w:sectPr>
                  <w:footerReference r:id="rId5" w:type="default"/>
                  <w:pgSz w:w="11906" w:h="16838"/>
                  <w:pgMar w:top="1440" w:right="1803" w:bottom="1440" w:left="1803" w:header="851" w:footer="992" w:gutter="0"/>
                  <w:pgNumType w:fmt="decimal" w:start="1"/>
                  <w:cols w:space="0" w:num="1"/>
                  <w:docGrid w:type="lines" w:linePitch="319" w:charSpace="0"/>
                </w:sect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"_Toc7458"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二十</w:t>
              </w:r>
              <w:r>
                <w:rPr>
                  <w:rFonts w:hint="eastAsia"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、粮食等重要农产品仓储设施专项</w:t>
              </w:r>
              <w:r>
                <w:rPr>
                  <w:rFonts w:hint="default" w:ascii="Times New Roman" w:hAnsi="Times New Roman" w:eastAsia="仿宋_GB2312" w:cs="Times New Roman"/>
                  <w:color w:val="auto"/>
                  <w:sz w:val="32"/>
                  <w:szCs w:val="32"/>
                  <w:highlight w:val="none"/>
                </w:rPr>
                <w:tab/>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fldChar w:fldCharType="end"/>
              </w:r>
              <w:r>
                <w:rPr>
                  <w:rFonts w:hint="eastAsia" w:eastAsia="仿宋_GB2312" w:cs="Times New Roman"/>
                  <w:color w:val="auto"/>
                  <w:sz w:val="32"/>
                  <w:szCs w:val="32"/>
                  <w:highlight w:val="none"/>
                  <w:lang w:val="en-US" w:eastAsia="zh-CN"/>
                </w:rPr>
                <w:t>0</w:t>
              </w:r>
            </w:p>
            <w:p>
              <w:pPr>
                <w:pStyle w:val="15"/>
                <w:keepNext w:val="0"/>
                <w:keepLines w:val="0"/>
                <w:pageBreakBefore w:val="0"/>
                <w:tabs>
                  <w:tab w:val="right" w:leader="dot" w:pos="8306"/>
                </w:tabs>
                <w:kinsoku/>
                <w:wordWrap/>
                <w:overflowPunct/>
                <w:topLinePunct w:val="0"/>
                <w:autoSpaceDE/>
                <w:autoSpaceDN/>
                <w:bidi w:val="0"/>
                <w:adjustRightInd/>
                <w:snapToGrid/>
                <w:spacing w:line="560" w:lineRule="exact"/>
                <w:ind w:left="0" w:leftChars="0"/>
                <w:textAlignment w:val="auto"/>
                <w:rPr>
                  <w:rFonts w:ascii="仿宋_GB2312" w:hAnsi="仿宋_GB2312" w:eastAsia="仿宋_GB2312" w:cs="仿宋_GB2312"/>
                  <w:color w:val="auto"/>
                  <w:sz w:val="32"/>
                  <w:szCs w:val="32"/>
                  <w:highlight w:val="none"/>
                </w:rPr>
              </w:pPr>
            </w:p>
          </w:sdtContent>
        </w:sdt>
      </w:sdtContent>
    </w:sdt>
    <w:p>
      <w:pPr>
        <w:keepNext w:val="0"/>
        <w:keepLines w:val="0"/>
        <w:pageBreakBefore w:val="0"/>
        <w:kinsoku/>
        <w:wordWrap/>
        <w:overflowPunct/>
        <w:topLinePunct w:val="0"/>
        <w:autoSpaceDE/>
        <w:autoSpaceDN/>
        <w:bidi w:val="0"/>
        <w:adjustRightInd/>
        <w:snapToGrid/>
        <w:spacing w:line="540" w:lineRule="exact"/>
        <w:ind w:left="0" w:leftChars="0"/>
        <w:jc w:val="center"/>
        <w:textAlignment w:val="auto"/>
        <w:rPr>
          <w:rFonts w:ascii="方正小标宋_GBK" w:hAnsi="方正小标宋_GBK" w:eastAsia="方正小标宋_GBK" w:cs="方正小标宋_GBK"/>
          <w:color w:val="auto"/>
          <w:sz w:val="44"/>
          <w:szCs w:val="44"/>
          <w:highlight w:val="none"/>
        </w:rPr>
      </w:pPr>
      <w:bookmarkStart w:id="0" w:name="_Toc20116"/>
      <w:bookmarkStart w:id="1" w:name="_Toc14201"/>
      <w:bookmarkStart w:id="2" w:name="_Toc19982"/>
      <w:bookmarkStart w:id="3" w:name="_Toc6926"/>
      <w:bookmarkStart w:id="4" w:name="_Toc12465"/>
      <w:bookmarkStart w:id="5" w:name="_Toc32563"/>
      <w:bookmarkStart w:id="6" w:name="_Toc2880"/>
      <w:bookmarkStart w:id="7" w:name="_Toc25509"/>
      <w:bookmarkStart w:id="8" w:name="_Toc1501"/>
      <w:r>
        <w:rPr>
          <w:rFonts w:hint="eastAsia" w:ascii="方正小标宋_GBK" w:hAnsi="方正小标宋_GBK" w:eastAsia="方正小标宋_GBK" w:cs="方正小标宋_GBK"/>
          <w:color w:val="auto"/>
          <w:sz w:val="44"/>
          <w:szCs w:val="44"/>
          <w:highlight w:val="none"/>
        </w:rPr>
        <w:t>中央预算内投资</w:t>
      </w:r>
      <w:bookmarkEnd w:id="0"/>
      <w:bookmarkEnd w:id="1"/>
      <w:r>
        <w:rPr>
          <w:rFonts w:hint="eastAsia" w:ascii="方正小标宋_GBK" w:hAnsi="方正小标宋_GBK" w:eastAsia="方正小标宋_GBK" w:cs="方正小标宋_GBK"/>
          <w:color w:val="auto"/>
          <w:sz w:val="44"/>
          <w:szCs w:val="44"/>
          <w:highlight w:val="none"/>
        </w:rPr>
        <w:t>专项</w:t>
      </w:r>
      <w:bookmarkEnd w:id="2"/>
      <w:bookmarkEnd w:id="3"/>
      <w:bookmarkEnd w:id="4"/>
      <w:bookmarkEnd w:id="5"/>
      <w:bookmarkEnd w:id="6"/>
      <w:bookmarkEnd w:id="7"/>
      <w:bookmarkEnd w:id="8"/>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ascii="仿宋_GB2312" w:hAnsi="仿宋_GB2312" w:eastAsia="仿宋_GB2312" w:cs="仿宋_GB2312"/>
          <w:b/>
          <w:bCs/>
          <w:color w:val="auto"/>
          <w:sz w:val="32"/>
          <w:szCs w:val="32"/>
          <w:highlight w:val="none"/>
        </w:rPr>
      </w:pPr>
      <w:bookmarkStart w:id="9" w:name="_Toc32245"/>
      <w:bookmarkStart w:id="10" w:name="_Toc25246"/>
    </w:p>
    <w:bookmarkEnd w:id="9"/>
    <w:bookmarkEnd w:id="10"/>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bookmarkStart w:id="11" w:name="_Toc29954"/>
      <w:bookmarkStart w:id="12" w:name="_Toc53"/>
      <w:bookmarkStart w:id="13" w:name="_Toc26068"/>
      <w:bookmarkStart w:id="14" w:name="_Toc11237"/>
      <w:bookmarkStart w:id="15" w:name="_Toc24507"/>
      <w:bookmarkStart w:id="16" w:name="_Toc12025"/>
      <w:bookmarkStart w:id="17" w:name="_Toc10965"/>
      <w:bookmarkStart w:id="18" w:name="_Toc27600"/>
      <w:bookmarkStart w:id="19" w:name="_Toc15381"/>
      <w:bookmarkStart w:id="20" w:name="_Toc22374"/>
      <w:bookmarkStart w:id="21" w:name="_Toc4852"/>
      <w:r>
        <w:rPr>
          <w:rFonts w:hint="eastAsia" w:ascii="黑体" w:hAnsi="黑体" w:eastAsia="黑体" w:cs="黑体"/>
          <w:color w:val="auto"/>
          <w:sz w:val="32"/>
          <w:szCs w:val="32"/>
          <w:highlight w:val="none"/>
          <w:lang w:eastAsia="zh-CN"/>
        </w:rPr>
        <w:t>一、铁路专项</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1.政策依据</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国家发展改革委《关于印发</w:t>
      </w:r>
      <w:r>
        <w:rPr>
          <w:rFonts w:hint="eastAsia" w:ascii="Times New Roman" w:hAnsi="Times New Roman" w:eastAsia="仿宋_GB2312" w:cs="Times New Roman"/>
          <w:color w:val="auto"/>
          <w:sz w:val="32"/>
          <w:szCs w:val="32"/>
          <w:highlight w:val="none"/>
          <w:lang w:val="en-US" w:eastAsia="zh-CN"/>
        </w:rPr>
        <w:t>&lt;</w:t>
      </w:r>
      <w:r>
        <w:rPr>
          <w:rFonts w:hint="default" w:ascii="Times New Roman" w:hAnsi="Times New Roman" w:eastAsia="仿宋_GB2312" w:cs="Times New Roman"/>
          <w:color w:val="auto"/>
          <w:sz w:val="32"/>
          <w:szCs w:val="32"/>
          <w:highlight w:val="none"/>
        </w:rPr>
        <w:t>铁路项目中央预算内投资专项管理办法</w:t>
      </w:r>
      <w:r>
        <w:rPr>
          <w:rFonts w:hint="eastAsia" w:ascii="Times New Roman" w:hAnsi="Times New Roman" w:eastAsia="仿宋_GB2312" w:cs="Times New Roman"/>
          <w:color w:val="auto"/>
          <w:sz w:val="32"/>
          <w:szCs w:val="32"/>
          <w:highlight w:val="none"/>
          <w:lang w:val="en-US" w:eastAsia="zh-CN"/>
        </w:rPr>
        <w:t>&gt;</w:t>
      </w:r>
      <w:r>
        <w:rPr>
          <w:rFonts w:hint="default" w:ascii="Times New Roman" w:hAnsi="Times New Roman" w:eastAsia="仿宋_GB2312" w:cs="Times New Roman"/>
          <w:color w:val="auto"/>
          <w:sz w:val="32"/>
          <w:szCs w:val="32"/>
          <w:highlight w:val="none"/>
        </w:rPr>
        <w:t>的通知》（发改基础规〔2023〕1761号）。</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2.支持范围</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按照客货并重、新建改扩建并举的原则，支持畅通中西部和东北地区骨干通道、强化边疆国防保障的干线铁路项目；支持京津冀等城际铁路项目；支持铁路货运能力提升项目；支持中欧班列铁路基础设施提级改造和重点铁路口岸扩能改造项目</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（2）干线铁路支持范围包括中西部和东北地区，以及明确享受中西部地区支持政策的中央苏区、革命老区有关县市、欠发达地区。</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符合国家批准的中长期铁路网规划、五年发展规划和相关专项规划。</w:t>
      </w:r>
    </w:p>
    <w:p>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楷体_GB2312" w:cs="Times New Roman"/>
          <w:b/>
          <w:bCs/>
          <w:color w:val="auto"/>
          <w:sz w:val="32"/>
          <w:szCs w:val="32"/>
          <w:highlight w:val="none"/>
          <w:lang w:eastAsia="zh-CN"/>
        </w:rPr>
      </w:pPr>
      <w:r>
        <w:rPr>
          <w:rFonts w:hint="eastAsia" w:ascii="Times New Roman" w:hAnsi="Times New Roman" w:eastAsia="楷体_GB2312" w:cs="Times New Roman"/>
          <w:b/>
          <w:bCs/>
          <w:color w:val="auto"/>
          <w:sz w:val="32"/>
          <w:szCs w:val="32"/>
          <w:highlight w:val="none"/>
          <w:lang w:val="en-US" w:eastAsia="zh-CN"/>
        </w:rPr>
        <w:t>3.</w:t>
      </w:r>
      <w:r>
        <w:rPr>
          <w:rFonts w:hint="eastAsia" w:ascii="Times New Roman" w:hAnsi="Times New Roman" w:eastAsia="楷体_GB2312" w:cs="Times New Roman"/>
          <w:b/>
          <w:bCs/>
          <w:color w:val="auto"/>
          <w:sz w:val="32"/>
          <w:szCs w:val="32"/>
          <w:highlight w:val="none"/>
          <w:lang w:eastAsia="zh-CN"/>
        </w:rPr>
        <w:t>支持比例</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lang w:val="en"/>
        </w:rPr>
        <w:t>（1）</w:t>
      </w:r>
      <w:r>
        <w:rPr>
          <w:rFonts w:hint="eastAsia" w:ascii="仿宋_GB2312" w:hAnsi="仿宋_GB2312" w:eastAsia="仿宋_GB2312" w:cs="仿宋_GB2312"/>
          <w:color w:val="auto"/>
          <w:sz w:val="32"/>
          <w:szCs w:val="32"/>
          <w:highlight w:val="none"/>
        </w:rPr>
        <w:t>干线铁路项目累计安排规模不高于资本金的30%安排。</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lang w:val="en"/>
        </w:rPr>
        <w:t>（2）</w:t>
      </w:r>
      <w:r>
        <w:rPr>
          <w:rFonts w:hint="eastAsia" w:ascii="仿宋_GB2312" w:hAnsi="仿宋_GB2312" w:eastAsia="仿宋_GB2312" w:cs="仿宋_GB2312"/>
          <w:color w:val="auto"/>
          <w:sz w:val="32"/>
          <w:szCs w:val="32"/>
          <w:highlight w:val="none"/>
        </w:rPr>
        <w:t>重点城市群跨省和区域骨干城际铁路项目累计安排规模不高于资本金的15%。</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lang w:val="en"/>
        </w:rPr>
        <w:t>（3）</w:t>
      </w:r>
      <w:r>
        <w:rPr>
          <w:rFonts w:hint="eastAsia" w:ascii="仿宋_GB2312" w:hAnsi="仿宋_GB2312" w:eastAsia="仿宋_GB2312" w:cs="仿宋_GB2312"/>
          <w:color w:val="auto"/>
          <w:sz w:val="32"/>
          <w:szCs w:val="32"/>
          <w:highlight w:val="none"/>
        </w:rPr>
        <w:t>铁路货运能力提升项目安排规模不高于资本金的20%。</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lang w:val="en"/>
        </w:rPr>
        <w:t>（4）</w:t>
      </w:r>
      <w:r>
        <w:rPr>
          <w:rFonts w:hint="eastAsia" w:ascii="仿宋_GB2312" w:hAnsi="仿宋_GB2312" w:eastAsia="仿宋_GB2312" w:cs="仿宋_GB2312"/>
          <w:color w:val="auto"/>
          <w:sz w:val="32"/>
          <w:szCs w:val="32"/>
          <w:highlight w:val="none"/>
        </w:rPr>
        <w:t>中欧班列铁路基础设施提级改造项目</w:t>
      </w:r>
      <w:r>
        <w:rPr>
          <w:rFonts w:hint="default"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重点铁路口岸扩能改造</w:t>
      </w:r>
      <w:r>
        <w:rPr>
          <w:rFonts w:hint="default"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安排规模不高于资本金的20%。</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二、水运专项</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bookmarkStart w:id="22" w:name="_Toc25833"/>
      <w:bookmarkStart w:id="23" w:name="_Toc24524"/>
      <w:bookmarkStart w:id="24" w:name="_Toc1080"/>
      <w:bookmarkStart w:id="25" w:name="_Toc8055"/>
      <w:bookmarkStart w:id="26" w:name="_Toc21501"/>
      <w:r>
        <w:rPr>
          <w:rFonts w:hint="default" w:ascii="楷体_GB2312" w:hAnsi="楷体_GB2312" w:eastAsia="楷体_GB2312" w:cs="楷体_GB2312"/>
          <w:b/>
          <w:bCs/>
          <w:color w:val="auto"/>
          <w:sz w:val="32"/>
          <w:szCs w:val="32"/>
          <w:highlight w:val="none"/>
        </w:rPr>
        <w:t>1.政策依据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lang w:val="en"/>
        </w:rPr>
      </w:pPr>
      <w:bookmarkStart w:id="27" w:name="OLE_LINK5"/>
      <w:r>
        <w:rPr>
          <w:rFonts w:hint="default" w:ascii="Times New Roman" w:hAnsi="Times New Roman" w:eastAsia="仿宋_GB2312" w:cs="Times New Roman"/>
          <w:color w:val="auto"/>
          <w:sz w:val="32"/>
          <w:szCs w:val="32"/>
          <w:highlight w:val="none"/>
        </w:rPr>
        <w:t>国家发展改革委《关于印发</w:t>
      </w:r>
      <w:r>
        <w:rPr>
          <w:rFonts w:hint="eastAsia" w:ascii="Times New Roman" w:hAnsi="Times New Roman" w:eastAsia="仿宋_GB2312" w:cs="Times New Roman"/>
          <w:color w:val="auto"/>
          <w:sz w:val="32"/>
          <w:szCs w:val="32"/>
          <w:highlight w:val="none"/>
          <w:lang w:val="en-US" w:eastAsia="zh-CN"/>
        </w:rPr>
        <w:t>&lt;</w:t>
      </w:r>
      <w:r>
        <w:rPr>
          <w:rFonts w:hint="default" w:ascii="Times New Roman" w:hAnsi="Times New Roman" w:eastAsia="仿宋_GB2312" w:cs="Times New Roman"/>
          <w:color w:val="auto"/>
          <w:sz w:val="32"/>
          <w:szCs w:val="32"/>
          <w:highlight w:val="none"/>
        </w:rPr>
        <w:t>水运中央预算内投资专项管理办法</w:t>
      </w:r>
      <w:r>
        <w:rPr>
          <w:rFonts w:hint="eastAsia" w:ascii="Times New Roman" w:hAnsi="Times New Roman" w:eastAsia="仿宋_GB2312" w:cs="Times New Roman"/>
          <w:color w:val="auto"/>
          <w:sz w:val="32"/>
          <w:szCs w:val="32"/>
          <w:highlight w:val="none"/>
          <w:lang w:val="en-US" w:eastAsia="zh-CN"/>
        </w:rPr>
        <w:t>&gt;</w:t>
      </w:r>
      <w:r>
        <w:rPr>
          <w:rFonts w:hint="default" w:ascii="Times New Roman" w:hAnsi="Times New Roman" w:eastAsia="仿宋_GB2312" w:cs="Times New Roman"/>
          <w:color w:val="auto"/>
          <w:sz w:val="32"/>
          <w:szCs w:val="32"/>
          <w:highlight w:val="none"/>
        </w:rPr>
        <w:t>的通知》</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发改基础规〔2024〕306号</w:t>
      </w:r>
      <w:r>
        <w:rPr>
          <w:rFonts w:hint="eastAsia" w:ascii="Times New Roman" w:hAnsi="Times New Roman" w:eastAsia="仿宋_GB2312" w:cs="Times New Roman"/>
          <w:color w:val="auto"/>
          <w:sz w:val="32"/>
          <w:szCs w:val="32"/>
          <w:highlight w:val="none"/>
          <w:lang w:eastAsia="zh-CN"/>
        </w:rPr>
        <w:t>）。</w:t>
      </w:r>
    </w:p>
    <w:bookmarkEnd w:id="27"/>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楷体_GB2312" w:hAnsi="楷体_GB2312" w:eastAsia="楷体_GB2312" w:cs="楷体_GB2312"/>
          <w:b/>
          <w:bCs/>
          <w:color w:val="auto"/>
          <w:sz w:val="32"/>
          <w:szCs w:val="32"/>
          <w:highlight w:val="none"/>
        </w:rPr>
        <w:t>2.支持范围</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原则上为列入《全国内河航道与港口布局规划》以及国家发展改革委和相关部门制定的水运行业发展规划的长江等内河高等级航道范围内的航道及配套设施、通航建筑物、航电枢纽项目；列入《全国内河航道与港口布局规划》、西部陆海新通道建设等领域相关重要规划文件和《全国大宗商品储运基地布局规划》的重点港口范围内的进港航道、防波堤、锚地等公益性港航基础设施项目；长江船舶受电设施相关项目。具体包括以下项目类型：</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321" w:firstLineChars="1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b/>
          <w:bCs/>
          <w:color w:val="auto"/>
          <w:sz w:val="32"/>
          <w:szCs w:val="32"/>
          <w:highlight w:val="none"/>
          <w:lang w:eastAsia="zh-CN"/>
        </w:rPr>
        <w:t>（</w:t>
      </w:r>
      <w:r>
        <w:rPr>
          <w:rFonts w:hint="eastAsia" w:ascii="Times New Roman" w:hAnsi="Times New Roman" w:eastAsia="仿宋_GB2312" w:cs="Times New Roman"/>
          <w:b/>
          <w:bCs/>
          <w:color w:val="auto"/>
          <w:sz w:val="32"/>
          <w:szCs w:val="32"/>
          <w:highlight w:val="none"/>
          <w:lang w:val="en-US" w:eastAsia="zh-CN"/>
        </w:rPr>
        <w:t>1</w:t>
      </w:r>
      <w:r>
        <w:rPr>
          <w:rFonts w:hint="eastAsia"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内河高等级航道项目</w:t>
      </w:r>
      <w:r>
        <w:rPr>
          <w:rFonts w:hint="eastAsia"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包括航道整治和疏浚项目</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321" w:firstLineChars="100"/>
        <w:textAlignment w:val="auto"/>
        <w:rPr>
          <w:rFonts w:hint="eastAsia" w:ascii="Times New Roman" w:hAnsi="Times New Roman" w:eastAsia="仿宋_GB2312" w:cs="Times New Roman"/>
          <w:color w:val="auto"/>
          <w:sz w:val="32"/>
          <w:szCs w:val="32"/>
          <w:highlight w:val="none"/>
          <w:lang w:val="en-US" w:eastAsia="zh-CN"/>
        </w:rPr>
      </w:pPr>
      <w:bookmarkStart w:id="28" w:name="OLE_LINK2"/>
      <w:r>
        <w:rPr>
          <w:rFonts w:hint="default" w:ascii="Times New Roman" w:hAnsi="Times New Roman" w:eastAsia="仿宋_GB2312" w:cs="Times New Roman"/>
          <w:b/>
          <w:bCs/>
          <w:color w:val="auto"/>
          <w:sz w:val="32"/>
          <w:szCs w:val="32"/>
          <w:highlight w:val="none"/>
          <w:lang w:val="en-US" w:eastAsia="zh-CN"/>
        </w:rPr>
        <w:t>（</w:t>
      </w:r>
      <w:r>
        <w:rPr>
          <w:rFonts w:hint="eastAsia"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lang w:val="en-US" w:eastAsia="zh-CN"/>
        </w:rPr>
        <w:t>）</w:t>
      </w:r>
      <w:bookmarkEnd w:id="28"/>
      <w:r>
        <w:rPr>
          <w:rFonts w:hint="default" w:ascii="Times New Roman" w:hAnsi="Times New Roman" w:eastAsia="仿宋_GB2312" w:cs="Times New Roman"/>
          <w:b/>
          <w:bCs/>
          <w:color w:val="auto"/>
          <w:sz w:val="32"/>
          <w:szCs w:val="32"/>
          <w:highlight w:val="none"/>
          <w:lang w:val="en-US" w:eastAsia="zh-CN"/>
        </w:rPr>
        <w:t>通航建筑物项目</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原则上为与航道规划等级以及地方经济社会发展需求相适应的船闸和升船机建设项目</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321" w:firstLineChars="1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w:t>
      </w:r>
      <w:r>
        <w:rPr>
          <w:rFonts w:hint="eastAsia"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lang w:val="en-US" w:eastAsia="zh-CN"/>
        </w:rPr>
        <w:t>）航电枢纽项目</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原则上为与航道规划等级以及地方经济社会发展需求相适应的航电枢纽建设项目</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321" w:firstLineChars="1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w:t>
      </w:r>
      <w:r>
        <w:rPr>
          <w:rFonts w:hint="eastAsia" w:ascii="Times New Roman" w:hAnsi="Times New Roman" w:eastAsia="仿宋_GB2312" w:cs="Times New Roman"/>
          <w:b/>
          <w:bCs/>
          <w:color w:val="auto"/>
          <w:sz w:val="32"/>
          <w:szCs w:val="32"/>
          <w:highlight w:val="none"/>
          <w:lang w:val="en-US" w:eastAsia="zh-CN"/>
        </w:rPr>
        <w:t>4</w:t>
      </w:r>
      <w:r>
        <w:rPr>
          <w:rFonts w:hint="default" w:ascii="Times New Roman" w:hAnsi="Times New Roman" w:eastAsia="仿宋_GB2312" w:cs="Times New Roman"/>
          <w:b/>
          <w:bCs/>
          <w:color w:val="auto"/>
          <w:sz w:val="32"/>
          <w:szCs w:val="32"/>
          <w:highlight w:val="none"/>
          <w:lang w:val="en-US" w:eastAsia="zh-CN"/>
        </w:rPr>
        <w:t>）内河高等级航道配套设施项目，</w:t>
      </w:r>
      <w:r>
        <w:rPr>
          <w:rFonts w:hint="default" w:ascii="Times New Roman" w:hAnsi="Times New Roman" w:eastAsia="仿宋_GB2312" w:cs="Times New Roman"/>
          <w:color w:val="auto"/>
          <w:sz w:val="32"/>
          <w:szCs w:val="32"/>
          <w:highlight w:val="none"/>
        </w:rPr>
        <w:t>包括长江干线范围内航道维护疏浚船舶基地、航标维护基地、航道维护码头建设等项目</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321" w:firstLineChars="1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w:t>
      </w:r>
      <w:r>
        <w:rPr>
          <w:rFonts w:hint="eastAsia" w:ascii="Times New Roman" w:hAnsi="Times New Roman" w:eastAsia="仿宋_GB2312" w:cs="Times New Roman"/>
          <w:b/>
          <w:bCs/>
          <w:color w:val="auto"/>
          <w:sz w:val="32"/>
          <w:szCs w:val="32"/>
          <w:highlight w:val="none"/>
          <w:lang w:val="en-US" w:eastAsia="zh-CN"/>
        </w:rPr>
        <w:t>5</w:t>
      </w:r>
      <w:r>
        <w:rPr>
          <w:rFonts w:hint="default" w:ascii="Times New Roman" w:hAnsi="Times New Roman" w:eastAsia="仿宋_GB2312" w:cs="Times New Roman"/>
          <w:b/>
          <w:bCs/>
          <w:color w:val="auto"/>
          <w:sz w:val="32"/>
          <w:szCs w:val="32"/>
          <w:highlight w:val="none"/>
          <w:lang w:val="en-US" w:eastAsia="zh-CN"/>
        </w:rPr>
        <w:t>）沿海重点港口港航公共基础设施项目</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包括进港航道、防波堤、锚地建设等项目</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 xml:space="preserve"> </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321" w:firstLineChars="1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w:t>
      </w:r>
      <w:r>
        <w:rPr>
          <w:rFonts w:hint="eastAsia" w:ascii="Times New Roman" w:hAnsi="Times New Roman" w:eastAsia="仿宋_GB2312" w:cs="Times New Roman"/>
          <w:b/>
          <w:bCs/>
          <w:color w:val="auto"/>
          <w:sz w:val="32"/>
          <w:szCs w:val="32"/>
          <w:highlight w:val="none"/>
          <w:lang w:val="en-US" w:eastAsia="zh-CN"/>
        </w:rPr>
        <w:t>6</w:t>
      </w:r>
      <w:r>
        <w:rPr>
          <w:rFonts w:hint="default" w:ascii="Times New Roman" w:hAnsi="Times New Roman" w:eastAsia="仿宋_GB2312" w:cs="Times New Roman"/>
          <w:b/>
          <w:bCs/>
          <w:color w:val="auto"/>
          <w:sz w:val="32"/>
          <w:szCs w:val="32"/>
          <w:highlight w:val="none"/>
          <w:lang w:val="en-US" w:eastAsia="zh-CN"/>
        </w:rPr>
        <w:t>）长江船舶受电设施项目</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包括各类使用岸电的长江船舶受电系统项目。</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项目安排的优先顺序为</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内河航道</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通航建筑物</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航电枢纽项目</w:t>
      </w:r>
      <w:r>
        <w:rPr>
          <w:rFonts w:hint="eastAsia" w:ascii="Times New Roman" w:hAnsi="Times New Roman" w:eastAsia="仿宋_GB2312" w:cs="Times New Roman"/>
          <w:color w:val="auto"/>
          <w:sz w:val="32"/>
          <w:szCs w:val="32"/>
          <w:highlight w:val="none"/>
          <w:lang w:val="en-US" w:eastAsia="zh-CN"/>
        </w:rPr>
        <w:t>、沿海重点港口港航公共基础设施项目。</w:t>
      </w:r>
      <w:bookmarkEnd w:id="22"/>
      <w:bookmarkEnd w:id="23"/>
      <w:bookmarkEnd w:id="24"/>
      <w:bookmarkEnd w:id="25"/>
      <w:bookmarkEnd w:id="26"/>
    </w:p>
    <w:p>
      <w:pPr>
        <w:pStyle w:val="2"/>
        <w:rPr>
          <w:rFonts w:hint="eastAsia"/>
          <w:color w:val="auto"/>
          <w:highlight w:val="none"/>
          <w:lang w:val="en-US" w:eastAsia="zh-CN"/>
        </w:rPr>
      </w:pP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三、水利专项</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1.政策依据</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国家发展改革委《关于印发</w:t>
      </w:r>
      <w:r>
        <w:rPr>
          <w:rFonts w:hint="eastAsia" w:ascii="Times New Roman" w:hAnsi="Times New Roman" w:eastAsia="仿宋_GB2312" w:cs="Times New Roman"/>
          <w:color w:val="auto"/>
          <w:sz w:val="32"/>
          <w:szCs w:val="32"/>
          <w:highlight w:val="none"/>
          <w:lang w:val="en-US" w:eastAsia="zh-CN"/>
        </w:rPr>
        <w:t>&lt;</w:t>
      </w:r>
      <w:r>
        <w:rPr>
          <w:rFonts w:hint="default" w:ascii="Times New Roman" w:hAnsi="Times New Roman" w:eastAsia="仿宋_GB2312" w:cs="Times New Roman"/>
          <w:color w:val="auto"/>
          <w:sz w:val="32"/>
          <w:szCs w:val="32"/>
          <w:highlight w:val="none"/>
        </w:rPr>
        <w:t>水利中央预算内投资专项管理办法</w:t>
      </w:r>
      <w:r>
        <w:rPr>
          <w:rFonts w:hint="eastAsia" w:ascii="Times New Roman" w:hAnsi="Times New Roman" w:eastAsia="仿宋_GB2312" w:cs="Times New Roman"/>
          <w:color w:val="auto"/>
          <w:sz w:val="32"/>
          <w:szCs w:val="32"/>
          <w:highlight w:val="none"/>
          <w:lang w:val="en-US" w:eastAsia="zh-CN"/>
        </w:rPr>
        <w:t>&gt;</w:t>
      </w:r>
      <w:r>
        <w:rPr>
          <w:rFonts w:hint="default" w:ascii="Times New Roman" w:hAnsi="Times New Roman" w:eastAsia="仿宋_GB2312" w:cs="Times New Roman"/>
          <w:color w:val="auto"/>
          <w:sz w:val="32"/>
          <w:szCs w:val="32"/>
          <w:highlight w:val="none"/>
        </w:rPr>
        <w:t>的通知》（发改农经规〔202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1761</w:t>
      </w:r>
      <w:r>
        <w:rPr>
          <w:rFonts w:hint="default" w:ascii="Times New Roman" w:hAnsi="Times New Roman" w:eastAsia="仿宋_GB2312" w:cs="Times New Roman"/>
          <w:color w:val="auto"/>
          <w:sz w:val="32"/>
          <w:szCs w:val="32"/>
          <w:highlight w:val="none"/>
        </w:rPr>
        <w:t>号）</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2.支持范围</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（1）重点支持领域</w:t>
      </w:r>
      <w:r>
        <w:rPr>
          <w:rFonts w:hint="eastAsia" w:ascii="Times New Roman" w:hAnsi="Times New Roman" w:eastAsia="仿宋_GB2312" w:cs="Times New Roman"/>
          <w:b/>
          <w:bCs/>
          <w:color w:val="auto"/>
          <w:sz w:val="32"/>
          <w:szCs w:val="32"/>
          <w:highlight w:val="none"/>
          <w:lang w:eastAsia="zh-CN"/>
        </w:rPr>
        <w:t>。包括：</w:t>
      </w:r>
      <w:r>
        <w:rPr>
          <w:rFonts w:hint="eastAsia" w:ascii="仿宋_GB2312" w:hAnsi="仿宋_GB2312" w:eastAsia="仿宋_GB2312" w:cs="仿宋_GB2312"/>
          <w:color w:val="auto"/>
          <w:sz w:val="32"/>
          <w:szCs w:val="32"/>
          <w:highlight w:val="none"/>
        </w:rPr>
        <w:t>包括蓄滞洪区建设工程、病险水库除险加固、大中型病险水闸除险加固等</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color w:val="auto"/>
          <w:sz w:val="32"/>
          <w:szCs w:val="32"/>
          <w:highlight w:val="none"/>
          <w:lang w:eastAsia="zh-CN"/>
        </w:rPr>
      </w:pPr>
      <w:r>
        <w:rPr>
          <w:rFonts w:hint="default"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bCs/>
          <w:color w:val="auto"/>
          <w:kern w:val="2"/>
          <w:sz w:val="32"/>
          <w:szCs w:val="32"/>
          <w:highlight w:val="none"/>
          <w:lang w:val="en-US" w:eastAsia="zh-CN" w:bidi="ar-SA"/>
        </w:rPr>
        <w:t>2</w:t>
      </w:r>
      <w:r>
        <w:rPr>
          <w:rFonts w:hint="default"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bCs/>
          <w:color w:val="auto"/>
          <w:kern w:val="2"/>
          <w:sz w:val="32"/>
          <w:szCs w:val="32"/>
          <w:highlight w:val="none"/>
          <w:lang w:val="en-US" w:eastAsia="zh-CN" w:bidi="ar-SA"/>
        </w:rPr>
        <w:t xml:space="preserve"> 防洪排涝工程</w:t>
      </w:r>
      <w:r>
        <w:rPr>
          <w:rFonts w:hint="eastAsia" w:ascii="Times New Roman" w:hAnsi="Times New Roman" w:eastAsia="仿宋_GB2312" w:cs="Times New Roman"/>
          <w:b/>
          <w:bCs/>
          <w:color w:val="auto"/>
          <w:sz w:val="32"/>
          <w:szCs w:val="32"/>
          <w:highlight w:val="none"/>
          <w:lang w:eastAsia="zh-CN"/>
        </w:rPr>
        <w:t>。包括：</w:t>
      </w:r>
      <w:r>
        <w:rPr>
          <w:rFonts w:hint="eastAsia" w:ascii="仿宋_GB2312" w:hAnsi="仿宋_GB2312" w:eastAsia="仿宋_GB2312" w:cs="仿宋_GB2312"/>
          <w:color w:val="auto"/>
          <w:sz w:val="32"/>
          <w:szCs w:val="32"/>
          <w:highlight w:val="none"/>
        </w:rPr>
        <w:t>江河防洪治理、重点区域排涝能力建设、海堤工程、水文基础设施等</w:t>
      </w:r>
      <w:r>
        <w:rPr>
          <w:rFonts w:hint="eastAsia" w:ascii="仿宋_GB2312" w:hAnsi="仿宋_GB2312" w:eastAsia="仿宋_GB2312" w:cs="仿宋_GB2312"/>
          <w:color w:val="auto"/>
          <w:sz w:val="32"/>
          <w:szCs w:val="32"/>
          <w:highlight w:val="none"/>
          <w:lang w:eastAsia="zh-CN"/>
        </w:rPr>
        <w:t>。</w:t>
      </w:r>
    </w:p>
    <w:p>
      <w:pPr>
        <w:pStyle w:val="2"/>
        <w:keepNext w:val="0"/>
        <w:keepLines w:val="0"/>
        <w:pageBreakBefore w:val="0"/>
        <w:kinsoku/>
        <w:wordWrap/>
        <w:overflowPunct/>
        <w:topLinePunct w:val="0"/>
        <w:autoSpaceDE/>
        <w:autoSpaceDN/>
        <w:bidi w:val="0"/>
        <w:adjustRightInd/>
        <w:snapToGrid/>
        <w:spacing w:line="540" w:lineRule="exact"/>
        <w:ind w:leftChars="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 xml:space="preserve"> </w:t>
      </w:r>
      <w:r>
        <w:rPr>
          <w:rFonts w:hint="eastAsia" w:ascii="Times New Roman" w:hAnsi="Times New Roman" w:eastAsia="仿宋_GB2312" w:cs="Times New Roman"/>
          <w:b/>
          <w:bCs/>
          <w:color w:val="auto"/>
          <w:kern w:val="2"/>
          <w:sz w:val="32"/>
          <w:szCs w:val="32"/>
          <w:highlight w:val="none"/>
          <w:lang w:val="en-US" w:eastAsia="zh-CN" w:bidi="ar-SA"/>
        </w:rPr>
        <w:t xml:space="preserve">   （3）水生态治理工程。包括：</w:t>
      </w:r>
      <w:r>
        <w:rPr>
          <w:rFonts w:hint="eastAsia" w:ascii="仿宋_GB2312" w:hAnsi="仿宋_GB2312" w:eastAsia="仿宋_GB2312" w:cs="仿宋_GB2312"/>
          <w:color w:val="auto"/>
          <w:sz w:val="32"/>
          <w:szCs w:val="32"/>
          <w:highlight w:val="none"/>
        </w:rPr>
        <w:t>水土保持、重点水生态治理工程等。</w:t>
      </w:r>
    </w:p>
    <w:p>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楷体_GB2312" w:cs="Times New Roman"/>
          <w:b/>
          <w:bCs/>
          <w:color w:val="auto"/>
          <w:sz w:val="32"/>
          <w:szCs w:val="32"/>
          <w:highlight w:val="none"/>
          <w:lang w:eastAsia="zh-CN"/>
        </w:rPr>
      </w:pPr>
      <w:r>
        <w:rPr>
          <w:rFonts w:hint="eastAsia" w:ascii="Times New Roman" w:hAnsi="Times New Roman" w:eastAsia="楷体_GB2312" w:cs="Times New Roman"/>
          <w:b/>
          <w:bCs/>
          <w:color w:val="auto"/>
          <w:sz w:val="32"/>
          <w:szCs w:val="32"/>
          <w:highlight w:val="none"/>
          <w:lang w:val="en-US" w:eastAsia="zh-CN"/>
        </w:rPr>
        <w:t>3.</w:t>
      </w:r>
      <w:r>
        <w:rPr>
          <w:rFonts w:hint="eastAsia" w:ascii="Times New Roman" w:hAnsi="Times New Roman" w:eastAsia="楷体_GB2312" w:cs="Times New Roman"/>
          <w:b/>
          <w:bCs/>
          <w:color w:val="auto"/>
          <w:sz w:val="32"/>
          <w:szCs w:val="32"/>
          <w:highlight w:val="none"/>
          <w:lang w:eastAsia="zh-CN"/>
        </w:rPr>
        <w:t>支持比例</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）重点支持领域。</w:t>
      </w:r>
      <w:r>
        <w:rPr>
          <w:rFonts w:hint="eastAsia" w:ascii="仿宋_GB2312" w:hAnsi="仿宋_GB2312" w:eastAsia="仿宋_GB2312" w:cs="仿宋_GB2312"/>
          <w:color w:val="auto"/>
          <w:sz w:val="32"/>
          <w:szCs w:val="32"/>
          <w:highlight w:val="none"/>
        </w:rPr>
        <w:t>按照项目投资的70%予以支持。小型病险水库除险加固工程，按照小(1)型500万元、小(2)型200万元的总投资基数。</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）防洪排涝工程</w:t>
      </w:r>
      <w:r>
        <w:rPr>
          <w:rFonts w:hint="eastAsia" w:ascii="仿宋_GB2312" w:hAnsi="仿宋_GB2312" w:eastAsia="仿宋_GB2312" w:cs="仿宋_GB2312"/>
          <w:color w:val="auto"/>
          <w:sz w:val="32"/>
          <w:szCs w:val="32"/>
          <w:highlight w:val="none"/>
        </w:rPr>
        <w:t>。按照项目投资的60%予以支持。江河防洪治理工程支持大江大河大湖干流，以及流域面积3000平方公里以上的重点中小河流（包含防洪关系紧密但流域面积不足3000平方公里的附属支流部分河段和回水段）。</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黑体" w:hAnsi="黑体" w:eastAsia="黑体" w:cs="黑体"/>
          <w:color w:val="auto"/>
          <w:sz w:val="32"/>
          <w:szCs w:val="32"/>
          <w:highlight w:val="none"/>
          <w:lang w:eastAsia="zh-CN"/>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rPr>
        <w:t>）水生态治理工程。</w:t>
      </w:r>
      <w:r>
        <w:rPr>
          <w:rFonts w:hint="eastAsia" w:ascii="仿宋_GB2312" w:hAnsi="仿宋_GB2312" w:eastAsia="仿宋_GB2312" w:cs="仿宋_GB2312"/>
          <w:color w:val="auto"/>
          <w:sz w:val="32"/>
          <w:szCs w:val="32"/>
          <w:highlight w:val="none"/>
        </w:rPr>
        <w:t>按照项目投资的50%予以支持。建设内容不含水污染治理、水景观建设等。</w:t>
      </w:r>
    </w:p>
    <w:p>
      <w:pPr>
        <w:keepNext w:val="0"/>
        <w:keepLines w:val="0"/>
        <w:pageBreakBefore w:val="0"/>
        <w:kinsoku/>
        <w:wordWrap/>
        <w:overflowPunct/>
        <w:topLinePunct w:val="0"/>
        <w:autoSpaceDE/>
        <w:autoSpaceDN/>
        <w:bidi w:val="0"/>
        <w:adjustRightInd/>
        <w:snapToGrid/>
        <w:spacing w:line="540" w:lineRule="exact"/>
        <w:ind w:left="0" w:leftChars="0"/>
        <w:textAlignment w:val="auto"/>
        <w:rPr>
          <w:rFonts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bookmarkStart w:id="29" w:name="_Toc31071"/>
      <w:bookmarkStart w:id="30" w:name="_Toc22356"/>
      <w:bookmarkStart w:id="31" w:name="_Toc7395"/>
      <w:bookmarkStart w:id="32" w:name="_Toc28740"/>
      <w:bookmarkStart w:id="33" w:name="_Toc22182"/>
      <w:bookmarkStart w:id="34" w:name="_Toc30203"/>
      <w:bookmarkStart w:id="35" w:name="_Toc30319"/>
      <w:bookmarkStart w:id="36" w:name="_Toc25389"/>
      <w:bookmarkStart w:id="37" w:name="_Toc25513"/>
      <w:r>
        <w:rPr>
          <w:rFonts w:hint="eastAsia" w:ascii="黑体" w:hAnsi="黑体" w:eastAsia="黑体" w:cs="黑体"/>
          <w:color w:val="auto"/>
          <w:sz w:val="32"/>
          <w:szCs w:val="32"/>
          <w:highlight w:val="none"/>
          <w:lang w:eastAsia="zh-CN"/>
        </w:rPr>
        <w:t>四、气象基础设施专项</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1.政策依据</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国家发展改革委《关于印发</w:t>
      </w:r>
      <w:r>
        <w:rPr>
          <w:rFonts w:hint="eastAsia" w:ascii="Times New Roman" w:hAnsi="Times New Roman" w:eastAsia="仿宋_GB2312" w:cs="Times New Roman"/>
          <w:color w:val="auto"/>
          <w:sz w:val="32"/>
          <w:szCs w:val="32"/>
          <w:highlight w:val="none"/>
          <w:lang w:val="en-US" w:eastAsia="zh-CN"/>
        </w:rPr>
        <w:t>&lt;</w:t>
      </w:r>
      <w:r>
        <w:rPr>
          <w:rFonts w:hint="default" w:ascii="Times New Roman" w:hAnsi="Times New Roman" w:eastAsia="仿宋_GB2312" w:cs="Times New Roman"/>
          <w:color w:val="auto"/>
          <w:sz w:val="32"/>
          <w:szCs w:val="32"/>
          <w:highlight w:val="none"/>
        </w:rPr>
        <w:t>气象基础设施中央预算内投资专项管理办法</w:t>
      </w:r>
      <w:r>
        <w:rPr>
          <w:rFonts w:hint="eastAsia" w:ascii="Times New Roman" w:hAnsi="Times New Roman" w:eastAsia="仿宋_GB2312" w:cs="Times New Roman"/>
          <w:color w:val="auto"/>
          <w:sz w:val="32"/>
          <w:szCs w:val="32"/>
          <w:highlight w:val="none"/>
          <w:lang w:val="en-US" w:eastAsia="zh-CN"/>
        </w:rPr>
        <w:t>&gt;</w:t>
      </w:r>
      <w:r>
        <w:rPr>
          <w:rFonts w:hint="default" w:ascii="Times New Roman" w:hAnsi="Times New Roman" w:eastAsia="仿宋_GB2312" w:cs="Times New Roman"/>
          <w:color w:val="auto"/>
          <w:sz w:val="32"/>
          <w:szCs w:val="32"/>
          <w:highlight w:val="none"/>
        </w:rPr>
        <w:t>的通知》（发改农经规〔2022〕392号）。</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 2.支持范围</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（1）气象卫星工程</w:t>
      </w:r>
      <w:r>
        <w:rPr>
          <w:rFonts w:hint="default" w:ascii="Times New Roman" w:hAnsi="Times New Roman" w:eastAsia="仿宋_GB2312" w:cs="Times New Roman"/>
          <w:b w:val="0"/>
          <w:bCs w:val="0"/>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（2）人工影响天气工程</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主要用于国家级和区域中心人工影响天气作业能力建设等。</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（3）海洋气象综合保障工程</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重点用于飞机综合探测系统、探空系统、自动气象站等仪器及其保障设备，统一开发部署的业务系统和信息网络平台等。</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（4）气象雷达项目</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主要用于气象雷达主机设备、系统配套及其保障设备设施、应用软件及研发系统、资源共享平台、技术支持等。</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（5）信息化工程</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主要用于高性能计算系统的更新迭代、构建中试仿真环境及其基础资源扩充、气象通信网络建设等。</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（6）观测站网工程</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主要用于全国布局的气象观测装备的新建和更新，以及观测保障能力建设等。</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（7）气象灾害监测预报预警服务工程</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主要用于气象灾害预报预测业务支撑平台的升级、统一开发部署的气象灾害监测预报预警业务系统、气象防灾减灾服务业务系统等。</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（8）气象基层台站能力提升项目</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主要用于地（市）级和县级气象部门基层台站基础设施能力提升等。</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p>
    <w:bookmarkEnd w:id="29"/>
    <w:bookmarkEnd w:id="30"/>
    <w:bookmarkEnd w:id="31"/>
    <w:bookmarkEnd w:id="32"/>
    <w:bookmarkEnd w:id="33"/>
    <w:bookmarkEnd w:id="34"/>
    <w:bookmarkEnd w:id="35"/>
    <w:bookmarkEnd w:id="36"/>
    <w:bookmarkEnd w:id="37"/>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五、城乡冷链和国家物流枢纽建设专项</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lang w:val="en-US" w:eastAsia="zh-CN"/>
        </w:rPr>
        <w:t>1.政策依据</w:t>
      </w:r>
    </w:p>
    <w:p>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lang w:val="en-US" w:eastAsia="zh-CN"/>
        </w:rPr>
        <w:t>国家发展改革委《关于印发</w:t>
      </w:r>
      <w:r>
        <w:rPr>
          <w:rFonts w:hint="eastAsia" w:ascii="Times New Roman" w:hAnsi="Times New Roman" w:eastAsia="仿宋_GB2312" w:cs="Times New Roman"/>
          <w:color w:val="auto"/>
          <w:sz w:val="32"/>
          <w:highlight w:val="none"/>
          <w:lang w:val="en-US" w:eastAsia="zh-CN"/>
        </w:rPr>
        <w:t>&lt;</w:t>
      </w:r>
      <w:r>
        <w:rPr>
          <w:rFonts w:hint="default" w:ascii="Times New Roman" w:hAnsi="Times New Roman" w:eastAsia="仿宋_GB2312" w:cs="Times New Roman"/>
          <w:color w:val="auto"/>
          <w:sz w:val="32"/>
          <w:highlight w:val="none"/>
          <w:lang w:val="en-US" w:eastAsia="zh-CN"/>
        </w:rPr>
        <w:t>城乡冷链和国家物流枢纽建设中央预算内投资专项管理办法</w:t>
      </w:r>
      <w:r>
        <w:rPr>
          <w:rFonts w:hint="eastAsia" w:ascii="Times New Roman" w:hAnsi="Times New Roman" w:eastAsia="仿宋_GB2312" w:cs="Times New Roman"/>
          <w:color w:val="auto"/>
          <w:sz w:val="32"/>
          <w:highlight w:val="none"/>
          <w:lang w:val="en-US" w:eastAsia="zh-CN"/>
        </w:rPr>
        <w:t>&gt;</w:t>
      </w:r>
      <w:r>
        <w:rPr>
          <w:rFonts w:hint="default" w:ascii="Times New Roman" w:hAnsi="Times New Roman" w:eastAsia="仿宋_GB2312" w:cs="Times New Roman"/>
          <w:color w:val="auto"/>
          <w:sz w:val="32"/>
          <w:highlight w:val="none"/>
          <w:lang w:val="en-US" w:eastAsia="zh-CN"/>
        </w:rPr>
        <w:t>的通知》</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发改经贸规〔2023〕1753号</w:t>
      </w:r>
      <w:r>
        <w:rPr>
          <w:rFonts w:hint="default" w:ascii="Times New Roman" w:hAnsi="Times New Roman" w:eastAsia="仿宋_GB2312" w:cs="Times New Roman"/>
          <w:color w:val="auto"/>
          <w:sz w:val="32"/>
          <w:highlight w:val="none"/>
        </w:rPr>
        <w:t>）。</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2.支持范围</w:t>
      </w:r>
    </w:p>
    <w:p>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b/>
          <w:bCs/>
          <w:color w:val="auto"/>
          <w:sz w:val="32"/>
          <w:highlight w:val="none"/>
          <w:lang w:val="en-US" w:eastAsia="zh-CN"/>
        </w:rPr>
        <w:t>（1）物流基础设施补短板项目。</w:t>
      </w:r>
      <w:r>
        <w:rPr>
          <w:rFonts w:hint="default" w:ascii="Times New Roman" w:hAnsi="Times New Roman" w:eastAsia="仿宋_GB2312" w:cs="Times New Roman"/>
          <w:color w:val="auto"/>
          <w:sz w:val="32"/>
          <w:highlight w:val="none"/>
          <w:lang w:val="en-US" w:eastAsia="zh-CN"/>
        </w:rPr>
        <w:t>重点支持已纳入年度建设名单的国家物流枢纽、国家骨干冷链物流基地和国家级示范物流园区范围内的基础性、公共性、公益性设施补短板项目，包括多式联运转运场站项目，高标准公共仓储设施新建、改扩建及智能化改造项目，保税仓储设施项目，公共物流信息平台和信息化提升项目，应急物流设施项目等。</w:t>
      </w:r>
    </w:p>
    <w:p>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b/>
          <w:bCs/>
          <w:color w:val="auto"/>
          <w:sz w:val="32"/>
          <w:highlight w:val="none"/>
          <w:lang w:val="en-US" w:eastAsia="zh-CN"/>
        </w:rPr>
        <w:t>（2）冷链物流设施项目。</w:t>
      </w:r>
      <w:r>
        <w:rPr>
          <w:rFonts w:hint="default" w:ascii="Times New Roman" w:hAnsi="Times New Roman" w:eastAsia="仿宋_GB2312" w:cs="Times New Roman"/>
          <w:color w:val="auto"/>
          <w:sz w:val="32"/>
          <w:highlight w:val="none"/>
          <w:lang w:val="en-US" w:eastAsia="zh-CN"/>
        </w:rPr>
        <w:t>重点支持冷链集配中心项目，公共冷库新建、改扩建、智能化改造及相关配套设施项目。</w:t>
      </w:r>
    </w:p>
    <w:p>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b/>
          <w:bCs/>
          <w:color w:val="auto"/>
          <w:sz w:val="32"/>
          <w:highlight w:val="none"/>
          <w:lang w:val="en-US" w:eastAsia="zh-CN"/>
        </w:rPr>
        <w:t>（3）城郊大仓基地项目。</w:t>
      </w:r>
      <w:r>
        <w:rPr>
          <w:rFonts w:hint="default" w:ascii="Times New Roman" w:hAnsi="Times New Roman" w:eastAsia="仿宋_GB2312" w:cs="Times New Roman"/>
          <w:color w:val="auto"/>
          <w:sz w:val="32"/>
          <w:highlight w:val="none"/>
          <w:lang w:val="en-US" w:eastAsia="zh-CN"/>
        </w:rPr>
        <w:t>重点支持城郊大仓基地范围内的基础性、公共性、公益性补短板设施项目建设，包括高标准公共仓储、分拨配送设施新建、改扩建及智能化改造项目等。</w:t>
      </w:r>
    </w:p>
    <w:p>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
          <w:bCs w:val="0"/>
          <w:color w:val="auto"/>
          <w:sz w:val="32"/>
          <w:szCs w:val="32"/>
          <w:highlight w:val="none"/>
          <w:lang w:val="en-US" w:eastAsia="zh-CN"/>
        </w:rPr>
        <w:t>2025年</w:t>
      </w:r>
      <w:r>
        <w:rPr>
          <w:rFonts w:hint="eastAsia" w:ascii="Times New Roman" w:hAnsi="Times New Roman" w:eastAsia="仿宋_GB2312" w:cs="Times New Roman"/>
          <w:b/>
          <w:bCs w:val="0"/>
          <w:color w:val="auto"/>
          <w:sz w:val="32"/>
          <w:szCs w:val="32"/>
          <w:highlight w:val="none"/>
          <w:lang w:val="en-US" w:eastAsia="zh-CN"/>
        </w:rPr>
        <w:t>重点</w:t>
      </w:r>
      <w:r>
        <w:rPr>
          <w:rFonts w:hint="default" w:ascii="Times New Roman" w:hAnsi="Times New Roman" w:eastAsia="仿宋_GB2312" w:cs="Times New Roman"/>
          <w:b/>
          <w:bCs w:val="0"/>
          <w:color w:val="auto"/>
          <w:sz w:val="32"/>
          <w:szCs w:val="32"/>
          <w:highlight w:val="none"/>
          <w:lang w:val="en-US" w:eastAsia="zh-CN"/>
        </w:rPr>
        <w:t>支持冷链物流设施项目</w:t>
      </w:r>
      <w:r>
        <w:rPr>
          <w:rFonts w:hint="default" w:ascii="Times New Roman" w:hAnsi="Times New Roman" w:eastAsia="仿宋_GB2312" w:cs="Times New Roman"/>
          <w:b w:val="0"/>
          <w:bCs/>
          <w:color w:val="auto"/>
          <w:sz w:val="32"/>
          <w:szCs w:val="32"/>
          <w:highlight w:val="none"/>
          <w:lang w:val="en-US" w:eastAsia="zh-CN"/>
        </w:rPr>
        <w:t>，主要包括：单体库容在2万立方米以上的冷藏库、冷冻库新建及改扩建项目；存量冷库智能化改造以及相关分拣、流通加工等配套设施建设项目等。</w:t>
      </w:r>
    </w:p>
    <w:p>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楷体_GB2312" w:cs="Times New Roman"/>
          <w:b/>
          <w:bCs/>
          <w:color w:val="auto"/>
          <w:sz w:val="32"/>
          <w:szCs w:val="32"/>
          <w:highlight w:val="none"/>
          <w:lang w:eastAsia="zh-CN"/>
        </w:rPr>
      </w:pPr>
      <w:r>
        <w:rPr>
          <w:rFonts w:hint="eastAsia" w:ascii="Times New Roman" w:hAnsi="Times New Roman" w:eastAsia="楷体_GB2312" w:cs="Times New Roman"/>
          <w:b/>
          <w:bCs/>
          <w:color w:val="auto"/>
          <w:sz w:val="32"/>
          <w:szCs w:val="32"/>
          <w:highlight w:val="none"/>
          <w:lang w:val="en-US" w:eastAsia="zh-CN"/>
        </w:rPr>
        <w:t>3</w:t>
      </w:r>
      <w:r>
        <w:rPr>
          <w:rFonts w:hint="default" w:ascii="Times New Roman" w:hAnsi="Times New Roman" w:eastAsia="楷体_GB2312" w:cs="Times New Roman"/>
          <w:b/>
          <w:bCs/>
          <w:color w:val="auto"/>
          <w:sz w:val="32"/>
          <w:szCs w:val="32"/>
          <w:highlight w:val="none"/>
          <w:lang w:val="en-US" w:eastAsia="zh-CN"/>
        </w:rPr>
        <w:t>.</w:t>
      </w:r>
      <w:r>
        <w:rPr>
          <w:rFonts w:hint="default" w:ascii="Times New Roman" w:hAnsi="Times New Roman" w:eastAsia="楷体_GB2312" w:cs="Times New Roman"/>
          <w:b/>
          <w:bCs/>
          <w:color w:val="auto"/>
          <w:sz w:val="32"/>
          <w:szCs w:val="32"/>
          <w:highlight w:val="none"/>
          <w:lang w:eastAsia="zh-CN"/>
        </w:rPr>
        <w:t>支持比例</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sz w:val="32"/>
          <w:highlight w:val="none"/>
        </w:rPr>
        <w:t>单个项目补助比例原则上不超过项目核定投资的30%。</w:t>
      </w:r>
    </w:p>
    <w:p>
      <w:pPr>
        <w:keepNext w:val="0"/>
        <w:keepLines w:val="0"/>
        <w:pageBreakBefore w:val="0"/>
        <w:widowControl/>
        <w:kinsoku/>
        <w:wordWrap/>
        <w:overflowPunct/>
        <w:topLinePunct w:val="0"/>
        <w:autoSpaceDE/>
        <w:autoSpaceDN/>
        <w:bidi w:val="0"/>
        <w:adjustRightInd/>
        <w:snapToGrid/>
        <w:spacing w:line="540" w:lineRule="exact"/>
        <w:ind w:left="0" w:leftChars="0"/>
        <w:jc w:val="left"/>
        <w:textAlignment w:val="auto"/>
        <w:rPr>
          <w:rFonts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六、</w:t>
      </w:r>
      <w:bookmarkStart w:id="38" w:name="_Toc11481"/>
      <w:bookmarkStart w:id="39" w:name="_Toc22064"/>
      <w:bookmarkStart w:id="40" w:name="_Toc13153"/>
      <w:bookmarkStart w:id="41" w:name="_Toc13471"/>
      <w:bookmarkStart w:id="42" w:name="_Toc21990"/>
      <w:bookmarkStart w:id="43" w:name="_Toc23858"/>
      <w:bookmarkStart w:id="44" w:name="_Toc27071"/>
      <w:bookmarkStart w:id="45" w:name="_Toc30477"/>
      <w:bookmarkStart w:id="46" w:name="_Toc16006"/>
      <w:bookmarkStart w:id="47" w:name="_Toc30429"/>
      <w:bookmarkStart w:id="48" w:name="_Toc27848"/>
      <w:bookmarkStart w:id="49" w:name="_Toc28832"/>
      <w:bookmarkStart w:id="50" w:name="_Toc32183"/>
      <w:r>
        <w:rPr>
          <w:rFonts w:hint="eastAsia" w:ascii="黑体" w:hAnsi="黑体" w:eastAsia="黑体" w:cs="黑体"/>
          <w:color w:val="auto"/>
          <w:sz w:val="32"/>
          <w:szCs w:val="32"/>
          <w:highlight w:val="none"/>
          <w:lang w:val="en-US" w:eastAsia="zh-CN"/>
        </w:rPr>
        <w:t>防灾减灾能力提升专项</w:t>
      </w:r>
      <w:bookmarkEnd w:id="38"/>
      <w:bookmarkEnd w:id="39"/>
      <w:bookmarkEnd w:id="40"/>
      <w:bookmarkEnd w:id="41"/>
      <w:bookmarkEnd w:id="42"/>
      <w:bookmarkEnd w:id="43"/>
      <w:bookmarkEnd w:id="44"/>
      <w:bookmarkEnd w:id="45"/>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1.政策依据</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国家发展改革委《关于印发</w:t>
      </w:r>
      <w:r>
        <w:rPr>
          <w:rFonts w:hint="eastAsia" w:ascii="Times New Roman" w:hAnsi="Times New Roman" w:eastAsia="仿宋_GB2312" w:cs="Times New Roman"/>
          <w:color w:val="auto"/>
          <w:sz w:val="32"/>
          <w:szCs w:val="32"/>
          <w:highlight w:val="none"/>
          <w:lang w:val="en-US" w:eastAsia="zh-CN"/>
        </w:rPr>
        <w:t>&lt;</w:t>
      </w:r>
      <w:r>
        <w:rPr>
          <w:rFonts w:hint="eastAsia" w:ascii="Times New Roman" w:hAnsi="Times New Roman" w:eastAsia="仿宋_GB2312" w:cs="Times New Roman"/>
          <w:color w:val="auto"/>
          <w:sz w:val="32"/>
          <w:szCs w:val="32"/>
          <w:highlight w:val="none"/>
          <w:lang w:eastAsia="zh-CN"/>
        </w:rPr>
        <w:t>灾后恢复重建和综合防灾减灾能力建设中央预算内投资专项管理办法</w:t>
      </w:r>
      <w:r>
        <w:rPr>
          <w:rFonts w:hint="eastAsia" w:ascii="Times New Roman" w:hAnsi="Times New Roman" w:eastAsia="仿宋_GB2312" w:cs="Times New Roman"/>
          <w:color w:val="auto"/>
          <w:sz w:val="32"/>
          <w:szCs w:val="32"/>
          <w:highlight w:val="none"/>
          <w:lang w:val="en-US" w:eastAsia="zh-CN"/>
        </w:rPr>
        <w:t>&gt;</w:t>
      </w:r>
      <w:r>
        <w:rPr>
          <w:rFonts w:hint="eastAsia" w:ascii="Times New Roman" w:hAnsi="Times New Roman" w:eastAsia="仿宋_GB2312" w:cs="Times New Roman"/>
          <w:color w:val="auto"/>
          <w:sz w:val="32"/>
          <w:szCs w:val="32"/>
          <w:highlight w:val="none"/>
          <w:lang w:eastAsia="zh-CN"/>
        </w:rPr>
        <w:t>的通知》（发改投资规〔2021〕675号）、</w:t>
      </w:r>
      <w:r>
        <w:rPr>
          <w:rFonts w:hint="default" w:ascii="Times New Roman" w:hAnsi="Times New Roman" w:eastAsia="仿宋_GB2312" w:cs="Times New Roman"/>
          <w:color w:val="auto"/>
          <w:sz w:val="32"/>
          <w:szCs w:val="32"/>
          <w:highlight w:val="none"/>
        </w:rPr>
        <w:t>国家发展改革委《关于修订印发</w:t>
      </w:r>
      <w:r>
        <w:rPr>
          <w:rFonts w:hint="eastAsia" w:ascii="Times New Roman" w:hAnsi="Times New Roman" w:eastAsia="仿宋_GB2312" w:cs="Times New Roman"/>
          <w:color w:val="auto"/>
          <w:sz w:val="32"/>
          <w:szCs w:val="32"/>
          <w:highlight w:val="none"/>
          <w:lang w:val="en-US" w:eastAsia="zh-CN"/>
        </w:rPr>
        <w:t>&lt;</w:t>
      </w:r>
      <w:r>
        <w:rPr>
          <w:rFonts w:hint="default" w:ascii="Times New Roman" w:hAnsi="Times New Roman" w:eastAsia="仿宋_GB2312" w:cs="Times New Roman"/>
          <w:color w:val="auto"/>
          <w:sz w:val="32"/>
          <w:szCs w:val="32"/>
          <w:highlight w:val="none"/>
        </w:rPr>
        <w:t>防灾减灾救灾能力提升（应急救援及安全生产方向）中央预算内投资专项管理办法</w:t>
      </w:r>
      <w:r>
        <w:rPr>
          <w:rFonts w:hint="eastAsia" w:ascii="Times New Roman" w:hAnsi="Times New Roman" w:eastAsia="仿宋_GB2312" w:cs="Times New Roman"/>
          <w:color w:val="auto"/>
          <w:sz w:val="32"/>
          <w:szCs w:val="32"/>
          <w:highlight w:val="none"/>
          <w:lang w:val="en-US" w:eastAsia="zh-CN"/>
        </w:rPr>
        <w:t>&gt;</w:t>
      </w:r>
      <w:r>
        <w:rPr>
          <w:rFonts w:hint="default" w:ascii="Times New Roman" w:hAnsi="Times New Roman" w:eastAsia="仿宋_GB2312" w:cs="Times New Roman"/>
          <w:color w:val="auto"/>
          <w:sz w:val="32"/>
          <w:szCs w:val="32"/>
          <w:highlight w:val="none"/>
        </w:rPr>
        <w:t>的通知》</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发改投资规〔2024〕1025号</w:t>
      </w:r>
      <w:r>
        <w:rPr>
          <w:rFonts w:hint="default" w:ascii="Times New Roman" w:hAnsi="Times New Roman" w:eastAsia="仿宋_GB2312" w:cs="Times New Roman"/>
          <w:color w:val="auto"/>
          <w:sz w:val="32"/>
          <w:szCs w:val="32"/>
          <w:highlight w:val="none"/>
          <w:lang w:val="en"/>
        </w:rPr>
        <w:t>）</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2.支持范围</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eastAsia="仿宋_GB2312" w:cs="Times New Roman"/>
          <w:b/>
          <w:bCs/>
          <w:color w:val="auto"/>
          <w:sz w:val="32"/>
          <w:highlight w:val="none"/>
        </w:rPr>
        <w:t>（1）</w:t>
      </w:r>
      <w:r>
        <w:rPr>
          <w:rFonts w:hint="eastAsia" w:ascii="仿宋_GB2312" w:hAnsi="仿宋_GB2312" w:eastAsia="仿宋_GB2312" w:cs="仿宋_GB2312"/>
          <w:b/>
          <w:bCs/>
          <w:color w:val="auto"/>
          <w:sz w:val="32"/>
          <w:szCs w:val="32"/>
          <w:highlight w:val="none"/>
        </w:rPr>
        <w:t>灾后恢复重建方向</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主要用于遭受地震、台风、暴雨洪涝、泥石流等重大自然灾害受灾地区的基础设施和公益性设施的灾后恢复重建。</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eastAsia="仿宋_GB2312" w:cs="Times New Roman"/>
          <w:b/>
          <w:bCs/>
          <w:color w:val="auto"/>
          <w:sz w:val="32"/>
          <w:highlight w:val="none"/>
        </w:rPr>
        <w:t>（2）</w:t>
      </w:r>
      <w:r>
        <w:rPr>
          <w:rFonts w:hint="eastAsia" w:ascii="仿宋_GB2312" w:hAnsi="仿宋_GB2312" w:eastAsia="仿宋_GB2312" w:cs="仿宋_GB2312"/>
          <w:b/>
          <w:bCs/>
          <w:color w:val="auto"/>
          <w:sz w:val="32"/>
          <w:szCs w:val="32"/>
          <w:highlight w:val="none"/>
        </w:rPr>
        <w:t>综合防灾减灾能力建设方向</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主要用于支持多灾易灾地区的地市级和县级救灾物资储备库建设,支持多灾易灾地区提升灾害风险防范能力、减灾和应急救灾保障能力方面的项目建设。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Chars="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其中：</w:t>
      </w:r>
      <w:r>
        <w:rPr>
          <w:rFonts w:hint="default" w:ascii="Times New Roman" w:hAnsi="Times New Roman" w:eastAsia="仿宋_GB2312" w:cs="Times New Roman"/>
          <w:b/>
          <w:bCs/>
          <w:color w:val="auto"/>
          <w:sz w:val="32"/>
          <w:szCs w:val="32"/>
          <w:highlight w:val="none"/>
        </w:rPr>
        <w:t>防灾减灾救灾能力提升（应急救援及安全生产方向）</w:t>
      </w:r>
      <w:r>
        <w:rPr>
          <w:rFonts w:hint="eastAsia" w:ascii="Times New Roman" w:hAnsi="Times New Roman" w:eastAsia="仿宋_GB2312" w:cs="Times New Roman"/>
          <w:b/>
          <w:bCs/>
          <w:color w:val="auto"/>
          <w:sz w:val="32"/>
          <w:szCs w:val="32"/>
          <w:highlight w:val="none"/>
          <w:lang w:eastAsia="zh-CN"/>
        </w:rPr>
        <w:t>主要包括，</w:t>
      </w:r>
      <w:bookmarkStart w:id="51" w:name="_Toc7365"/>
      <w:bookmarkStart w:id="52" w:name="_Toc10073"/>
      <w:bookmarkStart w:id="53" w:name="_Toc3037"/>
      <w:bookmarkStart w:id="54" w:name="_Toc27900"/>
      <w:bookmarkStart w:id="55" w:name="_Toc836"/>
      <w:bookmarkStart w:id="56" w:name="_Toc10934"/>
      <w:bookmarkStart w:id="57" w:name="_Toc16556"/>
      <w:bookmarkStart w:id="58" w:name="_Toc27944"/>
      <w:r>
        <w:rPr>
          <w:rFonts w:hint="eastAsia" w:ascii="仿宋_GB2312" w:hAnsi="仿宋_GB2312" w:eastAsia="仿宋_GB2312" w:cs="仿宋_GB2312"/>
          <w:b/>
          <w:bCs/>
          <w:color w:val="auto"/>
          <w:kern w:val="0"/>
          <w:sz w:val="32"/>
          <w:szCs w:val="32"/>
          <w:highlight w:val="none"/>
          <w:lang w:val="en-US" w:eastAsia="zh-CN" w:bidi="ar"/>
        </w:rPr>
        <w:t>应急救援中心建设方向。</w:t>
      </w:r>
      <w:r>
        <w:rPr>
          <w:rFonts w:hint="eastAsia" w:ascii="仿宋_GB2312" w:hAnsi="仿宋_GB2312" w:eastAsia="仿宋_GB2312" w:cs="仿宋_GB2312"/>
          <w:color w:val="auto"/>
          <w:kern w:val="0"/>
          <w:sz w:val="32"/>
          <w:szCs w:val="32"/>
          <w:highlight w:val="none"/>
          <w:lang w:val="en-US" w:eastAsia="zh-CN" w:bidi="ar"/>
        </w:rPr>
        <w:t>主要支持国家区域应急救援中心等应急战训基地建设项目。</w:t>
      </w:r>
      <w:r>
        <w:rPr>
          <w:rFonts w:hint="eastAsia" w:ascii="仿宋_GB2312" w:hAnsi="仿宋_GB2312" w:eastAsia="仿宋_GB2312" w:cs="仿宋_GB2312"/>
          <w:b/>
          <w:bCs/>
          <w:color w:val="auto"/>
          <w:kern w:val="0"/>
          <w:sz w:val="32"/>
          <w:szCs w:val="32"/>
          <w:highlight w:val="none"/>
          <w:lang w:val="en-US" w:eastAsia="zh-CN" w:bidi="ar"/>
        </w:rPr>
        <w:t>安全生产监管监察能力建设方向。</w:t>
      </w:r>
      <w:r>
        <w:rPr>
          <w:rFonts w:hint="eastAsia" w:ascii="仿宋_GB2312" w:hAnsi="仿宋_GB2312" w:eastAsia="仿宋_GB2312" w:cs="仿宋_GB2312"/>
          <w:color w:val="auto"/>
          <w:kern w:val="0"/>
          <w:sz w:val="32"/>
          <w:szCs w:val="32"/>
          <w:highlight w:val="none"/>
          <w:lang w:val="en-US" w:eastAsia="zh-CN" w:bidi="ar"/>
        </w:rPr>
        <w:t>主要支持矿山重大事故防控技术支撑基地等重大项目，以及应急管理部垂直管理的矿山安全生产监察能力建设项目、中西部地区符合条件的安全生产监管能力建设项目。原则上应纳入应急管理部门安全生产监管监察能力建设有关规划，规划的编制和审批按有关规定执行。</w:t>
      </w:r>
      <w:r>
        <w:rPr>
          <w:rFonts w:hint="eastAsia" w:ascii="仿宋_GB2312" w:hAnsi="仿宋_GB2312" w:eastAsia="仿宋_GB2312" w:cs="仿宋_GB2312"/>
          <w:b/>
          <w:bCs/>
          <w:color w:val="auto"/>
          <w:kern w:val="0"/>
          <w:sz w:val="32"/>
          <w:szCs w:val="32"/>
          <w:highlight w:val="none"/>
          <w:lang w:val="en-US" w:eastAsia="zh-CN" w:bidi="ar"/>
        </w:rPr>
        <w:t>水上交通安全保障能力建设方向。</w:t>
      </w:r>
      <w:r>
        <w:rPr>
          <w:rFonts w:hint="eastAsia" w:ascii="仿宋_GB2312" w:hAnsi="仿宋_GB2312" w:eastAsia="仿宋_GB2312" w:cs="仿宋_GB2312"/>
          <w:color w:val="auto"/>
          <w:kern w:val="0"/>
          <w:sz w:val="32"/>
          <w:szCs w:val="32"/>
          <w:highlight w:val="none"/>
          <w:lang w:val="en-US" w:eastAsia="zh-CN" w:bidi="ar"/>
        </w:rPr>
        <w:t>主要支持交通运输部直属或派出的海事、救捞、长江航务、珠江航务等单位实施的国家水上交通安全监管和救助建设项目，主要包括监管通信指挥系统、监管救助飞机船舶及基地、溢油清除和抢险打捞装备、技能训练和技术鉴定系统等项目。原则上应纳入发改委与交通运输部联合编制的相关规划，包括国家水上交通安全监管和救助系统布局规划、交通运输支持系统五年建设规划或相关专项行动方案等。</w:t>
      </w:r>
    </w:p>
    <w:p>
      <w:pPr>
        <w:keepNext w:val="0"/>
        <w:keepLines w:val="0"/>
        <w:pageBreakBefore w:val="0"/>
        <w:kinsoku/>
        <w:wordWrap/>
        <w:overflowPunct/>
        <w:topLinePunct w:val="0"/>
        <w:autoSpaceDE/>
        <w:autoSpaceDN/>
        <w:bidi w:val="0"/>
        <w:adjustRightInd/>
        <w:snapToGrid/>
        <w:spacing w:line="540" w:lineRule="exact"/>
        <w:ind w:left="0" w:leftChars="0"/>
        <w:textAlignment w:val="auto"/>
        <w:rPr>
          <w:rFonts w:ascii="仿宋_GB2312" w:hAnsi="仿宋_GB2312" w:eastAsia="仿宋_GB2312" w:cs="仿宋_GB2312"/>
          <w:color w:val="auto"/>
          <w:sz w:val="32"/>
          <w:szCs w:val="32"/>
          <w:highlight w:val="none"/>
        </w:rPr>
      </w:pPr>
    </w:p>
    <w:bookmarkEnd w:id="46"/>
    <w:bookmarkEnd w:id="47"/>
    <w:bookmarkEnd w:id="48"/>
    <w:bookmarkEnd w:id="49"/>
    <w:bookmarkEnd w:id="50"/>
    <w:bookmarkEnd w:id="51"/>
    <w:bookmarkEnd w:id="52"/>
    <w:bookmarkEnd w:id="53"/>
    <w:bookmarkEnd w:id="54"/>
    <w:bookmarkEnd w:id="55"/>
    <w:bookmarkEnd w:id="56"/>
    <w:bookmarkEnd w:id="57"/>
    <w:bookmarkEnd w:id="58"/>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bookmarkStart w:id="59" w:name="_Toc10973"/>
      <w:bookmarkStart w:id="60" w:name="_Toc22506"/>
      <w:bookmarkStart w:id="61" w:name="_Toc30127"/>
      <w:bookmarkStart w:id="62" w:name="_Toc3987"/>
      <w:bookmarkStart w:id="63" w:name="_Toc8080"/>
      <w:bookmarkStart w:id="64" w:name="_Toc16434"/>
      <w:bookmarkStart w:id="65" w:name="_Toc3803"/>
      <w:bookmarkStart w:id="66" w:name="_Toc18879"/>
      <w:bookmarkStart w:id="67" w:name="_Toc32749"/>
      <w:bookmarkStart w:id="68" w:name="_Toc2644"/>
      <w:bookmarkStart w:id="69" w:name="_Toc18833"/>
      <w:bookmarkStart w:id="70" w:name="_Toc5323"/>
      <w:bookmarkStart w:id="71" w:name="_Toc3952"/>
      <w:bookmarkStart w:id="72" w:name="_Toc5939"/>
      <w:bookmarkStart w:id="73" w:name="_Toc19838"/>
      <w:r>
        <w:rPr>
          <w:rFonts w:hint="eastAsia" w:ascii="黑体" w:hAnsi="黑体" w:eastAsia="黑体" w:cs="黑体"/>
          <w:color w:val="auto"/>
          <w:sz w:val="32"/>
          <w:szCs w:val="32"/>
          <w:highlight w:val="none"/>
          <w:lang w:eastAsia="zh-CN"/>
        </w:rPr>
        <w:t>七、城市地下管网及设施专项</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1.政策依据</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《城市</w:t>
      </w:r>
      <w:r>
        <w:rPr>
          <w:rFonts w:hint="eastAsia" w:ascii="Times New Roman" w:hAnsi="Times New Roman" w:eastAsia="仿宋_GB2312" w:cs="Times New Roman"/>
          <w:color w:val="auto"/>
          <w:sz w:val="32"/>
          <w:szCs w:val="32"/>
          <w:highlight w:val="none"/>
          <w:lang w:eastAsia="zh-CN"/>
        </w:rPr>
        <w:t>地下管网及设施</w:t>
      </w:r>
      <w:r>
        <w:rPr>
          <w:rFonts w:hint="default" w:ascii="Times New Roman" w:hAnsi="Times New Roman" w:eastAsia="仿宋_GB2312" w:cs="Times New Roman"/>
          <w:color w:val="auto"/>
          <w:sz w:val="32"/>
          <w:szCs w:val="32"/>
          <w:highlight w:val="none"/>
        </w:rPr>
        <w:t>中央预算内投资专项管理办法》。</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2.支持范围</w:t>
      </w:r>
    </w:p>
    <w:p>
      <w:pPr>
        <w:pStyle w:val="9"/>
        <w:keepNext w:val="0"/>
        <w:keepLines w:val="0"/>
        <w:pageBreakBefore w:val="0"/>
        <w:widowControl/>
        <w:kinsoku/>
        <w:wordWrap/>
        <w:overflowPunct/>
        <w:topLinePunct w:val="0"/>
        <w:autoSpaceDE/>
        <w:autoSpaceDN/>
        <w:bidi w:val="0"/>
        <w:adjustRightInd/>
        <w:snapToGrid/>
        <w:spacing w:line="540" w:lineRule="exact"/>
        <w:ind w:left="0" w:leftChars="0" w:firstLine="64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rPr>
        <w:t>（1）</w:t>
      </w:r>
      <w:r>
        <w:rPr>
          <w:rFonts w:hint="eastAsia" w:ascii="Times New Roman" w:hAnsi="Times New Roman" w:eastAsia="仿宋_GB2312" w:cs="Times New Roman"/>
          <w:b/>
          <w:bCs/>
          <w:color w:val="auto"/>
          <w:sz w:val="32"/>
          <w:szCs w:val="32"/>
          <w:highlight w:val="none"/>
          <w:lang w:eastAsia="zh-CN"/>
        </w:rPr>
        <w:t>城市燃气、供热老化管道及设施更新改造。</w:t>
      </w:r>
      <w:r>
        <w:rPr>
          <w:rFonts w:hint="eastAsia" w:ascii="Times New Roman" w:hAnsi="Times New Roman" w:eastAsia="仿宋_GB2312" w:cs="Times New Roman"/>
          <w:b w:val="0"/>
          <w:bCs w:val="0"/>
          <w:color w:val="auto"/>
          <w:sz w:val="32"/>
          <w:szCs w:val="32"/>
          <w:highlight w:val="none"/>
          <w:lang w:eastAsia="zh-CN"/>
        </w:rPr>
        <w:t>主要是更新改造材质落后、使用年限较长、运行环境存在安全隐患，不符合相关标准规范的城市燃气、供热老化管道及设施。重点支持内容包括：建筑区划内</w:t>
      </w:r>
      <w:r>
        <w:rPr>
          <w:rFonts w:hint="default" w:ascii="Times New Roman" w:hAnsi="Times New Roman" w:eastAsia="仿宋_GB2312" w:cs="Times New Roman"/>
          <w:b w:val="0"/>
          <w:bCs w:val="0"/>
          <w:color w:val="auto"/>
          <w:sz w:val="32"/>
          <w:szCs w:val="32"/>
          <w:highlight w:val="none"/>
        </w:rPr>
        <w:t>居民共有的燃气立管、庭院管道及设施，居民户内更换燃气橡胶软管、需加装的燃气安全装置</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政府所属燃气市政管道、厂站和设施</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专业经营企业所属燃气管道及设施</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燃气管道重要节点的监测、预警、处置等智能物联感知设备安装。政府所属、建筑区划内居民共有或所有、专业经营企业所属的城市供热老化管道及设施。</w:t>
      </w:r>
    </w:p>
    <w:p>
      <w:pPr>
        <w:pStyle w:val="9"/>
        <w:keepNext w:val="0"/>
        <w:keepLines w:val="0"/>
        <w:pageBreakBefore w:val="0"/>
        <w:widowControl/>
        <w:kinsoku/>
        <w:wordWrap/>
        <w:overflowPunct/>
        <w:topLinePunct w:val="0"/>
        <w:autoSpaceDE/>
        <w:autoSpaceDN/>
        <w:bidi w:val="0"/>
        <w:adjustRightInd/>
        <w:snapToGrid/>
        <w:spacing w:line="540" w:lineRule="exact"/>
        <w:ind w:left="0" w:leftChars="0" w:firstLine="640"/>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eastAsia="仿宋_GB2312" w:cs="Times New Roman"/>
          <w:b/>
          <w:bCs/>
          <w:color w:val="auto"/>
          <w:sz w:val="32"/>
          <w:szCs w:val="32"/>
          <w:highlight w:val="none"/>
        </w:rPr>
        <w:t>（2）排水防涝设施建设改造</w:t>
      </w:r>
      <w:r>
        <w:rPr>
          <w:rFonts w:hint="eastAsia"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重点支持内容包括</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排水管网建设与改造。</w:t>
      </w:r>
      <w:r>
        <w:rPr>
          <w:rFonts w:hint="default" w:ascii="Times New Roman" w:hAnsi="Times New Roman" w:eastAsia="仿宋_GB2312" w:cs="Times New Roman"/>
          <w:b w:val="0"/>
          <w:bCs w:val="0"/>
          <w:color w:val="auto"/>
          <w:sz w:val="32"/>
          <w:szCs w:val="32"/>
          <w:highlight w:val="none"/>
        </w:rPr>
        <w:t>改造老化破损、易造成积水内涝问题和混错接的雨污水管网，改造易涝积水点周边雨水口，增设雨水篦、雨水调蓄设施等。</w:t>
      </w:r>
      <w:r>
        <w:rPr>
          <w:rFonts w:hint="default" w:ascii="Times New Roman" w:hAnsi="Times New Roman" w:eastAsia="仿宋_GB2312" w:cs="Times New Roman"/>
          <w:b/>
          <w:bCs/>
          <w:color w:val="auto"/>
          <w:sz w:val="32"/>
          <w:szCs w:val="32"/>
          <w:highlight w:val="none"/>
        </w:rPr>
        <w:t>泵站建设与改造。</w:t>
      </w:r>
      <w:r>
        <w:rPr>
          <w:rFonts w:hint="default" w:ascii="Times New Roman" w:hAnsi="Times New Roman" w:eastAsia="仿宋_GB2312" w:cs="Times New Roman"/>
          <w:b w:val="0"/>
          <w:bCs w:val="0"/>
          <w:color w:val="auto"/>
          <w:sz w:val="32"/>
          <w:szCs w:val="32"/>
          <w:highlight w:val="none"/>
        </w:rPr>
        <w:t>改造或增设泵站，按需配备移动泵车等快速解决内涝的专用防汛设施设备。</w:t>
      </w:r>
      <w:r>
        <w:rPr>
          <w:rFonts w:hint="default" w:ascii="Times New Roman" w:hAnsi="Times New Roman" w:eastAsia="仿宋_GB2312" w:cs="Times New Roman"/>
          <w:b/>
          <w:bCs/>
          <w:color w:val="auto"/>
          <w:sz w:val="32"/>
          <w:szCs w:val="32"/>
          <w:highlight w:val="none"/>
        </w:rPr>
        <w:t>排涝通道建设。</w:t>
      </w:r>
      <w:r>
        <w:rPr>
          <w:rFonts w:hint="default" w:ascii="Times New Roman" w:hAnsi="Times New Roman" w:eastAsia="仿宋_GB2312" w:cs="Times New Roman"/>
          <w:b w:val="0"/>
          <w:bCs w:val="0"/>
          <w:color w:val="auto"/>
          <w:sz w:val="32"/>
          <w:szCs w:val="32"/>
          <w:highlight w:val="none"/>
        </w:rPr>
        <w:t>合理开展河道、湖塘、排洪沟、道路边沟等整治工程，恢复因历史原因封盖、填埋的天然排水沟、河道等，利用次要道路、绿地、植草沟等构建雨洪行泄通道。</w:t>
      </w:r>
      <w:r>
        <w:rPr>
          <w:rFonts w:hint="eastAsia" w:ascii="仿宋_GB2312" w:hAnsi="仿宋_GB2312" w:eastAsia="仿宋_GB2312" w:cs="仿宋_GB2312"/>
          <w:b/>
          <w:bCs/>
          <w:color w:val="auto"/>
          <w:sz w:val="32"/>
          <w:szCs w:val="32"/>
          <w:highlight w:val="none"/>
        </w:rPr>
        <w:t>智慧平台建设。</w:t>
      </w:r>
      <w:r>
        <w:rPr>
          <w:rFonts w:hint="eastAsia" w:ascii="仿宋_GB2312" w:hAnsi="仿宋_GB2312" w:eastAsia="仿宋_GB2312" w:cs="仿宋_GB2312"/>
          <w:b w:val="0"/>
          <w:bCs w:val="0"/>
          <w:color w:val="auto"/>
          <w:sz w:val="32"/>
          <w:szCs w:val="32"/>
          <w:highlight w:val="none"/>
        </w:rPr>
        <w:t>在排水设施关键节点、易涝积水点布设必要的智能化终端感知设备。</w:t>
      </w:r>
    </w:p>
    <w:p>
      <w:pPr>
        <w:pStyle w:val="9"/>
        <w:keepNext w:val="0"/>
        <w:keepLines w:val="0"/>
        <w:pageBreakBefore w:val="0"/>
        <w:widowControl/>
        <w:kinsoku/>
        <w:wordWrap/>
        <w:overflowPunct/>
        <w:topLinePunct w:val="0"/>
        <w:autoSpaceDE/>
        <w:autoSpaceDN/>
        <w:bidi w:val="0"/>
        <w:adjustRightInd/>
        <w:snapToGrid/>
        <w:spacing w:line="540" w:lineRule="exact"/>
        <w:ind w:left="0" w:leftChars="0" w:firstLine="640"/>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eastAsia="仿宋_GB2312" w:cs="Times New Roman"/>
          <w:b/>
          <w:bCs/>
          <w:color w:val="auto"/>
          <w:sz w:val="32"/>
          <w:szCs w:val="32"/>
          <w:highlight w:val="none"/>
        </w:rPr>
        <w:t>（</w:t>
      </w:r>
      <w:r>
        <w:rPr>
          <w:rFonts w:hint="eastAsia"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w:t>
      </w:r>
      <w:r>
        <w:rPr>
          <w:rFonts w:hint="eastAsia" w:ascii="仿宋_GB2312" w:hAnsi="仿宋_GB2312" w:eastAsia="仿宋_GB2312" w:cs="仿宋_GB2312"/>
          <w:b/>
          <w:bCs/>
          <w:color w:val="auto"/>
          <w:sz w:val="32"/>
          <w:szCs w:val="32"/>
          <w:highlight w:val="none"/>
        </w:rPr>
        <w:t>供水管网漏损治理和老化更新改造</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重点支持内容包括</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老旧供水管网更新改造、管网分区计量改造、供水压力优化调控、泵站</w:t>
      </w:r>
      <w:r>
        <w:rPr>
          <w:rFonts w:hint="default" w:ascii="仿宋_GB2312" w:hAnsi="仿宋_GB2312" w:eastAsia="仿宋_GB2312" w:cs="仿宋_GB2312"/>
          <w:b w:val="0"/>
          <w:bCs w:val="0"/>
          <w:color w:val="auto"/>
          <w:sz w:val="32"/>
          <w:szCs w:val="32"/>
          <w:highlight w:val="none"/>
          <w:lang w:val="en"/>
        </w:rPr>
        <w:t>（</w:t>
      </w:r>
      <w:r>
        <w:rPr>
          <w:rFonts w:hint="eastAsia" w:ascii="仿宋_GB2312" w:hAnsi="仿宋_GB2312" w:eastAsia="仿宋_GB2312" w:cs="仿宋_GB2312"/>
          <w:b w:val="0"/>
          <w:bCs w:val="0"/>
          <w:color w:val="auto"/>
          <w:sz w:val="32"/>
          <w:szCs w:val="32"/>
          <w:highlight w:val="none"/>
        </w:rPr>
        <w:t>泵房</w:t>
      </w:r>
      <w:r>
        <w:rPr>
          <w:rFonts w:hint="default" w:ascii="仿宋_GB2312" w:hAnsi="仿宋_GB2312" w:eastAsia="仿宋_GB2312" w:cs="仿宋_GB2312"/>
          <w:b w:val="0"/>
          <w:bCs w:val="0"/>
          <w:color w:val="auto"/>
          <w:sz w:val="32"/>
          <w:szCs w:val="32"/>
          <w:highlight w:val="none"/>
          <w:lang w:val="en"/>
        </w:rPr>
        <w:t>）</w:t>
      </w:r>
      <w:r>
        <w:rPr>
          <w:rFonts w:hint="eastAsia" w:ascii="仿宋_GB2312" w:hAnsi="仿宋_GB2312" w:eastAsia="仿宋_GB2312" w:cs="仿宋_GB2312"/>
          <w:b w:val="0"/>
          <w:bCs w:val="0"/>
          <w:color w:val="auto"/>
          <w:sz w:val="32"/>
          <w:szCs w:val="32"/>
          <w:highlight w:val="none"/>
        </w:rPr>
        <w:t>改造、管网智能化改造等。</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3.主要申报条件</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项目纳入住房城乡建设部</w:t>
      </w:r>
      <w:r>
        <w:rPr>
          <w:rFonts w:hint="eastAsia" w:ascii="Times New Roman" w:hAnsi="Times New Roman" w:eastAsia="仿宋_GB2312" w:cs="Times New Roman"/>
          <w:color w:val="auto"/>
          <w:sz w:val="32"/>
          <w:szCs w:val="32"/>
          <w:highlight w:val="none"/>
          <w:lang w:eastAsia="zh-CN"/>
        </w:rPr>
        <w:t>门《城市地下管网管廊及设施建设改造实施方案》。</w:t>
      </w:r>
    </w:p>
    <w:p>
      <w:pPr>
        <w:pStyle w:val="9"/>
        <w:keepNext w:val="0"/>
        <w:keepLines w:val="0"/>
        <w:pageBreakBefore w:val="0"/>
        <w:widowControl/>
        <w:kinsoku/>
        <w:wordWrap/>
        <w:overflowPunct/>
        <w:topLinePunct w:val="0"/>
        <w:autoSpaceDE/>
        <w:autoSpaceDN/>
        <w:bidi w:val="0"/>
        <w:adjustRightInd/>
        <w:snapToGrid/>
        <w:spacing w:line="540" w:lineRule="exact"/>
        <w:ind w:left="0" w:leftChars="0" w:firstLine="640"/>
        <w:textAlignment w:val="auto"/>
        <w:rPr>
          <w:rFonts w:hint="default" w:ascii="Times New Roman" w:hAnsi="Times New Roman" w:eastAsia="仿宋_GB2312" w:cs="Times New Roman"/>
          <w:b w:val="0"/>
          <w:b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八、保障性安居工程配套基础设施专项</w:t>
      </w:r>
    </w:p>
    <w:bookmarkEnd w:id="59"/>
    <w:bookmarkEnd w:id="60"/>
    <w:bookmarkEnd w:id="61"/>
    <w:bookmarkEnd w:id="62"/>
    <w:bookmarkEnd w:id="63"/>
    <w:bookmarkEnd w:id="64"/>
    <w:bookmarkEnd w:id="65"/>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1.政策依据</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highlight w:val="none"/>
        </w:rPr>
        <w:t>国家发展改革委</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highlight w:val="none"/>
        </w:rPr>
        <w:t>关于印发</w:t>
      </w:r>
      <w:r>
        <w:rPr>
          <w:rFonts w:hint="eastAsia" w:ascii="Times New Roman" w:hAnsi="Times New Roman" w:eastAsia="仿宋_GB2312" w:cs="Times New Roman"/>
          <w:color w:val="auto"/>
          <w:sz w:val="32"/>
          <w:szCs w:val="32"/>
          <w:highlight w:val="none"/>
          <w:lang w:val="en-US" w:eastAsia="zh-CN"/>
        </w:rPr>
        <w:t>&lt;</w:t>
      </w:r>
      <w:r>
        <w:rPr>
          <w:rFonts w:hint="default" w:ascii="Times New Roman" w:hAnsi="Times New Roman" w:eastAsia="仿宋_GB2312" w:cs="Times New Roman"/>
          <w:color w:val="auto"/>
          <w:sz w:val="32"/>
          <w:szCs w:val="32"/>
          <w:highlight w:val="none"/>
        </w:rPr>
        <w:t>保障性安居工程配套基础设施中央预算内投资专项管理办法</w:t>
      </w:r>
      <w:r>
        <w:rPr>
          <w:rFonts w:hint="eastAsia" w:ascii="Times New Roman" w:hAnsi="Times New Roman" w:eastAsia="仿宋_GB2312" w:cs="Times New Roman"/>
          <w:color w:val="auto"/>
          <w:sz w:val="32"/>
          <w:szCs w:val="32"/>
          <w:highlight w:val="none"/>
          <w:lang w:val="en-US" w:eastAsia="zh-CN"/>
        </w:rPr>
        <w:t>&gt;</w:t>
      </w:r>
      <w:r>
        <w:rPr>
          <w:rFonts w:hint="eastAsia" w:ascii="Times New Roman" w:hAnsi="Times New Roman" w:eastAsia="仿宋_GB2312" w:cs="Times New Roman"/>
          <w:color w:val="auto"/>
          <w:sz w:val="32"/>
          <w:szCs w:val="32"/>
          <w:highlight w:val="none"/>
          <w:lang w:eastAsia="zh-CN"/>
        </w:rPr>
        <w:t>的通知</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发改投资规〔2022〕910号</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2.支持范围</w:t>
      </w:r>
    </w:p>
    <w:p>
      <w:pPr>
        <w:pStyle w:val="9"/>
        <w:keepNext w:val="0"/>
        <w:keepLines w:val="0"/>
        <w:pageBreakBefore w:val="0"/>
        <w:widowControl/>
        <w:kinsoku/>
        <w:wordWrap/>
        <w:overflowPunct/>
        <w:topLinePunct w:val="0"/>
        <w:autoSpaceDE/>
        <w:autoSpaceDN/>
        <w:bidi w:val="0"/>
        <w:adjustRightInd/>
        <w:snapToGrid/>
        <w:spacing w:line="540" w:lineRule="exact"/>
        <w:ind w:left="0" w:leftChars="0"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（1）城区常住人口300万以上的大城市以及其他具备条件城市的保障性住房配套基础设施建设;</w:t>
      </w:r>
    </w:p>
    <w:p>
      <w:pPr>
        <w:pStyle w:val="9"/>
        <w:keepNext w:val="0"/>
        <w:keepLines w:val="0"/>
        <w:pageBreakBefore w:val="0"/>
        <w:widowControl/>
        <w:kinsoku/>
        <w:wordWrap/>
        <w:overflowPunct/>
        <w:topLinePunct w:val="0"/>
        <w:autoSpaceDE/>
        <w:autoSpaceDN/>
        <w:bidi w:val="0"/>
        <w:adjustRightInd/>
        <w:snapToGrid/>
        <w:spacing w:line="540" w:lineRule="exact"/>
        <w:ind w:left="0" w:leftChars="0"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（2）超大特大城市以及其他具备条件的城市城中村改造配套基础设施建设;</w:t>
      </w:r>
    </w:p>
    <w:p>
      <w:pPr>
        <w:pStyle w:val="9"/>
        <w:keepNext w:val="0"/>
        <w:keepLines w:val="0"/>
        <w:pageBreakBefore w:val="0"/>
        <w:widowControl/>
        <w:kinsoku/>
        <w:wordWrap/>
        <w:overflowPunct/>
        <w:topLinePunct w:val="0"/>
        <w:autoSpaceDE/>
        <w:autoSpaceDN/>
        <w:bidi w:val="0"/>
        <w:adjustRightInd/>
        <w:snapToGrid/>
        <w:spacing w:line="540" w:lineRule="exact"/>
        <w:ind w:left="0" w:leftChars="0"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（3）人口净流入的大城市新建、改建保障性租赁住房配套基础设施建设;</w:t>
      </w:r>
    </w:p>
    <w:p>
      <w:pPr>
        <w:pStyle w:val="9"/>
        <w:keepNext w:val="0"/>
        <w:keepLines w:val="0"/>
        <w:pageBreakBefore w:val="0"/>
        <w:widowControl/>
        <w:kinsoku/>
        <w:wordWrap/>
        <w:overflowPunct/>
        <w:topLinePunct w:val="0"/>
        <w:autoSpaceDE/>
        <w:autoSpaceDN/>
        <w:bidi w:val="0"/>
        <w:adjustRightInd/>
        <w:snapToGrid/>
        <w:spacing w:line="540" w:lineRule="exact"/>
        <w:ind w:left="0" w:leftChars="0"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（4）新筹集的集中片区公租房配套基础设施建设;</w:t>
      </w:r>
    </w:p>
    <w:p>
      <w:pPr>
        <w:pStyle w:val="9"/>
        <w:keepNext w:val="0"/>
        <w:keepLines w:val="0"/>
        <w:pageBreakBefore w:val="0"/>
        <w:widowControl/>
        <w:kinsoku/>
        <w:wordWrap/>
        <w:overflowPunct/>
        <w:topLinePunct w:val="0"/>
        <w:autoSpaceDE/>
        <w:autoSpaceDN/>
        <w:bidi w:val="0"/>
        <w:adjustRightInd/>
        <w:snapToGrid/>
        <w:spacing w:line="540" w:lineRule="exact"/>
        <w:ind w:left="0" w:leftChars="0"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（5）城镇老旧小区改造配套基础设施建设;</w:t>
      </w:r>
    </w:p>
    <w:p>
      <w:pPr>
        <w:pStyle w:val="9"/>
        <w:keepNext w:val="0"/>
        <w:keepLines w:val="0"/>
        <w:pageBreakBefore w:val="0"/>
        <w:widowControl/>
        <w:kinsoku/>
        <w:wordWrap/>
        <w:overflowPunct/>
        <w:topLinePunct w:val="0"/>
        <w:autoSpaceDE/>
        <w:autoSpaceDN/>
        <w:bidi w:val="0"/>
        <w:adjustRightInd/>
        <w:snapToGrid/>
        <w:spacing w:line="540" w:lineRule="exact"/>
        <w:ind w:left="0" w:leftChars="0"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）棚户区改造</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含国有工矿、林业、垦区棚户区改造</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配套基础设施建设，重点支持在建收尾项目，适度支持新开工项目;</w:t>
      </w:r>
    </w:p>
    <w:p>
      <w:pPr>
        <w:pStyle w:val="9"/>
        <w:keepNext w:val="0"/>
        <w:keepLines w:val="0"/>
        <w:pageBreakBefore w:val="0"/>
        <w:widowControl/>
        <w:kinsoku/>
        <w:wordWrap/>
        <w:overflowPunct/>
        <w:topLinePunct w:val="0"/>
        <w:autoSpaceDE/>
        <w:autoSpaceDN/>
        <w:bidi w:val="0"/>
        <w:adjustRightInd/>
        <w:snapToGrid/>
        <w:spacing w:line="540" w:lineRule="exact"/>
        <w:ind w:left="0" w:leftChars="0"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）按照党中央、国务院部署开展的其他保障性安居工程建设任务及其配套基础设施建设。</w:t>
      </w:r>
    </w:p>
    <w:p>
      <w:pPr>
        <w:pStyle w:val="9"/>
        <w:keepNext w:val="0"/>
        <w:keepLines w:val="0"/>
        <w:pageBreakBefore w:val="0"/>
        <w:widowControl/>
        <w:kinsoku/>
        <w:wordWrap/>
        <w:overflowPunct/>
        <w:topLinePunct w:val="0"/>
        <w:autoSpaceDE/>
        <w:autoSpaceDN/>
        <w:bidi w:val="0"/>
        <w:adjustRightInd/>
        <w:snapToGrid/>
        <w:spacing w:line="540" w:lineRule="exact"/>
        <w:ind w:left="0" w:leftChars="0"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保障性安居工程配套基础设施主要包括：小区内的燃气、排水、供水、供热、道路、供电、通信、绿化、照明、围墙、</w:t>
      </w:r>
      <w:r>
        <w:rPr>
          <w:rFonts w:hint="eastAsia" w:ascii="Times New Roman" w:hAnsi="Times New Roman" w:eastAsia="仿宋_GB2312" w:cs="Times New Roman"/>
          <w:color w:val="auto"/>
          <w:sz w:val="32"/>
          <w:szCs w:val="32"/>
          <w:highlight w:val="none"/>
          <w:lang w:eastAsia="zh-CN"/>
        </w:rPr>
        <w:t>消防、安防、</w:t>
      </w:r>
      <w:r>
        <w:rPr>
          <w:rFonts w:hint="default" w:ascii="Times New Roman" w:hAnsi="Times New Roman" w:eastAsia="仿宋_GB2312" w:cs="Times New Roman"/>
          <w:color w:val="auto"/>
          <w:sz w:val="32"/>
          <w:szCs w:val="32"/>
          <w:highlight w:val="none"/>
        </w:rPr>
        <w:t>垃圾收储等基础设施，</w:t>
      </w:r>
      <w:r>
        <w:rPr>
          <w:rFonts w:hint="eastAsia" w:ascii="Times New Roman" w:hAnsi="Times New Roman" w:eastAsia="仿宋_GB2312" w:cs="Times New Roman"/>
          <w:color w:val="auto"/>
          <w:sz w:val="32"/>
          <w:szCs w:val="32"/>
          <w:highlight w:val="none"/>
          <w:lang w:eastAsia="zh-CN"/>
        </w:rPr>
        <w:t>以及社区综合服务、养老、托幼、助餐、日间照料、无障碍、</w:t>
      </w:r>
      <w:r>
        <w:rPr>
          <w:rFonts w:hint="default" w:ascii="Times New Roman" w:hAnsi="Times New Roman" w:eastAsia="仿宋_GB2312" w:cs="Times New Roman"/>
          <w:color w:val="auto"/>
          <w:sz w:val="32"/>
          <w:szCs w:val="32"/>
          <w:highlight w:val="none"/>
        </w:rPr>
        <w:t>停车、充电桩、便民</w:t>
      </w:r>
      <w:r>
        <w:rPr>
          <w:rFonts w:hint="eastAsia" w:ascii="Times New Roman" w:hAnsi="Times New Roman" w:eastAsia="仿宋_GB2312" w:cs="Times New Roman"/>
          <w:color w:val="auto"/>
          <w:sz w:val="32"/>
          <w:szCs w:val="32"/>
          <w:highlight w:val="none"/>
          <w:lang w:eastAsia="zh-CN"/>
        </w:rPr>
        <w:t>、文化体育</w:t>
      </w:r>
      <w:r>
        <w:rPr>
          <w:rFonts w:hint="default" w:ascii="Times New Roman" w:hAnsi="Times New Roman" w:eastAsia="仿宋_GB2312" w:cs="Times New Roman"/>
          <w:color w:val="auto"/>
          <w:sz w:val="32"/>
          <w:szCs w:val="32"/>
          <w:highlight w:val="none"/>
        </w:rPr>
        <w:t>等公共服务设施</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小区</w:t>
      </w:r>
      <w:r>
        <w:rPr>
          <w:rFonts w:hint="eastAsia" w:ascii="Times New Roman" w:hAnsi="Times New Roman" w:eastAsia="仿宋_GB2312" w:cs="Times New Roman"/>
          <w:color w:val="auto"/>
          <w:sz w:val="32"/>
          <w:szCs w:val="32"/>
          <w:highlight w:val="none"/>
          <w:lang w:eastAsia="zh-CN"/>
        </w:rPr>
        <w:t>外与城市主干网衔接的</w:t>
      </w:r>
      <w:r>
        <w:rPr>
          <w:rFonts w:hint="default" w:ascii="Times New Roman" w:hAnsi="Times New Roman" w:eastAsia="仿宋_GB2312" w:cs="Times New Roman"/>
          <w:color w:val="auto"/>
          <w:sz w:val="32"/>
          <w:szCs w:val="32"/>
          <w:highlight w:val="none"/>
        </w:rPr>
        <w:t>的燃气、排水、供水、供热、道路和公共交通、通信、供电等城镇基础设施项目。原则上不得用于主干道、主管网、综合管廊、广场、城市公园等与小区不相关的城镇基础设施项目。</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3.主要申报条件</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项目纳入住房城乡建设部与各省（区、市）确定的年度目标任务。</w:t>
      </w:r>
    </w:p>
    <w:bookmarkEnd w:id="66"/>
    <w:bookmarkEnd w:id="67"/>
    <w:bookmarkEnd w:id="68"/>
    <w:bookmarkEnd w:id="69"/>
    <w:bookmarkEnd w:id="70"/>
    <w:bookmarkEnd w:id="71"/>
    <w:bookmarkEnd w:id="72"/>
    <w:bookmarkEnd w:id="73"/>
    <w:p>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楷体_GB2312" w:cs="Times New Roman"/>
          <w:b/>
          <w:bCs/>
          <w:color w:val="auto"/>
          <w:sz w:val="32"/>
          <w:szCs w:val="32"/>
          <w:highlight w:val="none"/>
          <w:lang w:eastAsia="zh-CN"/>
        </w:rPr>
      </w:pPr>
      <w:bookmarkStart w:id="74" w:name="_Toc4671"/>
      <w:bookmarkStart w:id="75" w:name="_Toc18409"/>
      <w:bookmarkStart w:id="76" w:name="_Toc21788"/>
      <w:bookmarkStart w:id="77" w:name="_Toc21398"/>
      <w:bookmarkStart w:id="78" w:name="_Toc10725"/>
      <w:r>
        <w:rPr>
          <w:rFonts w:hint="eastAsia" w:ascii="Times New Roman" w:hAnsi="Times New Roman" w:eastAsia="楷体_GB2312" w:cs="Times New Roman"/>
          <w:b/>
          <w:bCs/>
          <w:color w:val="auto"/>
          <w:sz w:val="32"/>
          <w:szCs w:val="32"/>
          <w:highlight w:val="none"/>
          <w:lang w:val="en-US" w:eastAsia="zh-CN"/>
        </w:rPr>
        <w:t>4.</w:t>
      </w:r>
      <w:r>
        <w:rPr>
          <w:rFonts w:hint="eastAsia" w:ascii="Times New Roman" w:hAnsi="Times New Roman" w:eastAsia="楷体_GB2312" w:cs="Times New Roman"/>
          <w:b/>
          <w:bCs/>
          <w:color w:val="auto"/>
          <w:sz w:val="32"/>
          <w:szCs w:val="32"/>
          <w:highlight w:val="none"/>
          <w:lang w:eastAsia="zh-CN"/>
        </w:rPr>
        <w:t>支持比例</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城镇老旧小区改造、棚户区改造、公租房项目，可按照“区别对待、分类指导”的原则，结合实际采取不同的投资补助标准，补助金额最高不超过核定的项目建安投资。建设内容包括保障性租赁住房及其配套基础设施建设的政府投资项目，补助资金原则上不高于项目总投资（不包含征地拆迁费用）的30%；企业投资项目或建设内容仅包含配套基础设施的政府投资项目，补助资金原则上不高于项目配套基础设施投资（不包含征地拆迁费用）的50%。</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color w:val="auto"/>
          <w:sz w:val="32"/>
          <w:szCs w:val="32"/>
          <w:highlight w:val="none"/>
        </w:rPr>
      </w:pPr>
    </w:p>
    <w:bookmarkEnd w:id="74"/>
    <w:bookmarkEnd w:id="75"/>
    <w:bookmarkEnd w:id="76"/>
    <w:bookmarkEnd w:id="77"/>
    <w:bookmarkEnd w:id="78"/>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bookmarkStart w:id="79" w:name="_Toc11089"/>
      <w:bookmarkStart w:id="80" w:name="_Toc16894"/>
      <w:bookmarkStart w:id="81" w:name="_Toc13479"/>
      <w:bookmarkStart w:id="82" w:name="_Toc30250"/>
      <w:bookmarkStart w:id="83" w:name="_Toc18596"/>
      <w:r>
        <w:rPr>
          <w:rFonts w:hint="eastAsia" w:ascii="黑体" w:hAnsi="黑体" w:eastAsia="黑体" w:cs="黑体"/>
          <w:color w:val="auto"/>
          <w:sz w:val="32"/>
          <w:szCs w:val="32"/>
          <w:highlight w:val="none"/>
          <w:lang w:eastAsia="zh-CN"/>
        </w:rPr>
        <w:t>九、</w:t>
      </w:r>
      <w:r>
        <w:rPr>
          <w:rFonts w:hint="eastAsia" w:ascii="黑体" w:hAnsi="黑体" w:eastAsia="黑体" w:cs="黑体"/>
          <w:color w:val="auto"/>
          <w:sz w:val="32"/>
          <w:szCs w:val="32"/>
          <w:highlight w:val="none"/>
          <w:lang w:val="en-US" w:eastAsia="zh-CN"/>
        </w:rPr>
        <w:t>农业</w:t>
      </w:r>
      <w:r>
        <w:rPr>
          <w:rFonts w:hint="eastAsia" w:ascii="黑体" w:hAnsi="黑体" w:eastAsia="黑体" w:cs="黑体"/>
          <w:color w:val="auto"/>
          <w:sz w:val="32"/>
          <w:szCs w:val="32"/>
          <w:highlight w:val="none"/>
          <w:lang w:eastAsia="zh-CN"/>
        </w:rPr>
        <w:t>专项</w:t>
      </w:r>
      <w:bookmarkEnd w:id="79"/>
      <w:bookmarkEnd w:id="80"/>
      <w:bookmarkEnd w:id="81"/>
      <w:bookmarkEnd w:id="82"/>
      <w:bookmarkEnd w:id="83"/>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1.政策依据</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 xml:space="preserve">国家发展改革委《关于印发农业中央预算内投资专项管理办法的通知》（发改农经规〔2024〕744号）、安徽省发展改革委安徽省农业农村厅安徽省应急管理厅安徽省林业局《关于做好 2025年农业、乡村振兴、生态保护修复领域 </w:t>
      </w:r>
    </w:p>
    <w:p>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highlight w:val="none"/>
          <w:lang w:val="en"/>
        </w:rPr>
      </w:pPr>
      <w:r>
        <w:rPr>
          <w:rFonts w:hint="eastAsia" w:ascii="Times New Roman" w:hAnsi="Times New Roman" w:eastAsia="仿宋_GB2312" w:cs="Times New Roman"/>
          <w:color w:val="auto"/>
          <w:kern w:val="2"/>
          <w:sz w:val="32"/>
          <w:szCs w:val="32"/>
          <w:highlight w:val="none"/>
          <w:lang w:val="en-US" w:eastAsia="zh-CN" w:bidi="ar-SA"/>
        </w:rPr>
        <w:t>中央投资项目储备工作的通知》（皖发改农经〔2024〕477号）。</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2.支持范围</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 w:eastAsia="zh-CN"/>
        </w:rPr>
        <w:t>1</w:t>
      </w:r>
      <w:r>
        <w:rPr>
          <w:rFonts w:hint="eastAsia" w:ascii="Times New Roman" w:hAnsi="Times New Roman" w:eastAsia="仿宋_GB2312" w:cs="Times New Roman"/>
          <w:b/>
          <w:bCs/>
          <w:color w:val="auto"/>
          <w:sz w:val="32"/>
          <w:szCs w:val="32"/>
          <w:highlight w:val="none"/>
          <w:lang w:eastAsia="zh-CN"/>
        </w:rPr>
        <w:t>）高标准农田建设项目。</w:t>
      </w:r>
      <w:r>
        <w:rPr>
          <w:rFonts w:hint="eastAsia" w:ascii="Times New Roman" w:hAnsi="Times New Roman" w:eastAsia="仿宋_GB2312" w:cs="Times New Roman"/>
          <w:color w:val="auto"/>
          <w:sz w:val="32"/>
          <w:szCs w:val="32"/>
          <w:highlight w:val="none"/>
          <w:lang w:eastAsia="zh-CN"/>
        </w:rPr>
        <w:t xml:space="preserve">优先在《新一轮千亿斤粮食产能提升行动方案》确定的我省38个粮食产能提升重点县，以及平原地区、大中型灌区等具备水利灌溉条件地区建设高标准农田。以县（市、区）为单位储备申报，规模一般不低于5万亩，项目单位要编制初步设计。 </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 w:eastAsia="zh-CN"/>
        </w:rPr>
        <w:t>2</w:t>
      </w:r>
      <w:r>
        <w:rPr>
          <w:rFonts w:hint="eastAsia" w:ascii="Times New Roman" w:hAnsi="Times New Roman" w:eastAsia="仿宋_GB2312" w:cs="Times New Roman"/>
          <w:b/>
          <w:bCs/>
          <w:color w:val="auto"/>
          <w:sz w:val="32"/>
          <w:szCs w:val="32"/>
          <w:highlight w:val="none"/>
          <w:lang w:eastAsia="zh-CN"/>
        </w:rPr>
        <w:t>）大豆玉米单产提升工程项目。</w:t>
      </w:r>
      <w:r>
        <w:rPr>
          <w:rFonts w:hint="eastAsia" w:ascii="Times New Roman" w:hAnsi="Times New Roman" w:eastAsia="仿宋_GB2312" w:cs="Times New Roman"/>
          <w:color w:val="auto"/>
          <w:sz w:val="32"/>
          <w:szCs w:val="32"/>
          <w:highlight w:val="none"/>
          <w:lang w:eastAsia="zh-CN"/>
        </w:rPr>
        <w:t>优先从我省38个粮食产能提升重点县，以及《全国粮油等主要作物大面积单产提升行动实施方案（2023—2030年）》确定的我省大豆玉米单产提升整建制推进县中选择，各地可根据实际适当扩大范围。以县（市、区）为单位储备申报，大豆单产提升工程规模原则上在3万亩以上，玉米单产提升工程规模一般为5万亩或10万亩，项目单位要编制可行性研究报告。2024 年已实施过大豆玉米单产提升工程的地块不再重复支持。</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 w:eastAsia="zh-CN"/>
        </w:rPr>
        <w:t>3</w:t>
      </w:r>
      <w:r>
        <w:rPr>
          <w:rFonts w:hint="eastAsia" w:ascii="Times New Roman" w:hAnsi="Times New Roman" w:eastAsia="仿宋_GB2312" w:cs="Times New Roman"/>
          <w:b/>
          <w:bCs/>
          <w:color w:val="auto"/>
          <w:sz w:val="32"/>
          <w:szCs w:val="32"/>
          <w:highlight w:val="none"/>
          <w:lang w:eastAsia="zh-CN"/>
        </w:rPr>
        <w:t>）现代种业提升工程项目。</w:t>
      </w:r>
      <w:r>
        <w:rPr>
          <w:rFonts w:hint="eastAsia" w:ascii="Times New Roman" w:hAnsi="Times New Roman" w:eastAsia="仿宋_GB2312" w:cs="Times New Roman"/>
          <w:color w:val="auto"/>
          <w:sz w:val="32"/>
          <w:szCs w:val="32"/>
          <w:highlight w:val="none"/>
          <w:lang w:eastAsia="zh-CN"/>
        </w:rPr>
        <w:t xml:space="preserve">全省可储备申报1个农作物区域性良种繁育基地建设项目，要求在国家认定的区域性良种繁育基地县，建设蔬菜区域性良种繁育基地，项目单位要编制可行性研究报告或实施方案。 </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 w:eastAsia="zh-CN"/>
        </w:rPr>
        <w:t>4</w:t>
      </w:r>
      <w:r>
        <w:rPr>
          <w:rFonts w:hint="eastAsia" w:ascii="Times New Roman" w:hAnsi="Times New Roman" w:eastAsia="仿宋_GB2312" w:cs="Times New Roman"/>
          <w:b/>
          <w:bCs/>
          <w:color w:val="auto"/>
          <w:sz w:val="32"/>
          <w:szCs w:val="32"/>
          <w:highlight w:val="none"/>
          <w:lang w:eastAsia="zh-CN"/>
        </w:rPr>
        <w:t>）动植物保护能力提升工程项目</w:t>
      </w:r>
      <w:r>
        <w:rPr>
          <w:rFonts w:hint="eastAsia" w:ascii="Times New Roman" w:hAnsi="Times New Roman" w:eastAsia="仿宋_GB2312" w:cs="Times New Roman"/>
          <w:color w:val="auto"/>
          <w:sz w:val="32"/>
          <w:szCs w:val="32"/>
          <w:highlight w:val="none"/>
          <w:lang w:eastAsia="zh-CN"/>
        </w:rPr>
        <w:t xml:space="preserve"> </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——陆生动物疫病病原学监测区域中心项目。已列入《全国动植物保护能力提升工程建设规划（2017—2025 年）》，在充分考虑实验室人员、技术和经费保障条件的基础上，优先考虑畜禽养殖量较大、疫病防控任务重的地市，依托各监测中心所在地市级动物疫病预防控制机构兽医实验室，重点改建4个区域中心，对实验室进行更新改造，项目单位要编制可行性研究报告。</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 xml:space="preserve">——动物防疫指定通道（公路动物防疫监督检查站）项目。拟建项目为经省人民政府批准设立的动物防疫指定通道，全省储备项目原则上不超过6个。设立动物防疫指定通道的市可对照条件组织申报，项目单位要编制可行性研究报告。 </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病死畜禽无害化收集处理场项目。优先支持开展病死猪无害化处理与保险联动试点地区、跨行政区域收集处理病死畜禽的项目，以及地方政府积极支持、有市场主体愿意承担、建设用地有保障的地区建设，项目单位要编制实施方案。</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——全国农作物病虫疫情监测分中心（省级）田间监测点项目。由省植保植检机构打捆储备申报和组织实施，项目单位要编制可行性研究报告。</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 xml:space="preserve">——重大病虫疫情区域应急防控设施及物资储备库项目。由省植保植检机构把关审核和储备申报，项目单位要编制可行性研究报告。 </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 xml:space="preserve">——天敌微生物等绿色防控产品生产繁育基地项目。由省植保植检机构把关审核和储备申报，承建的企业、科研、教学单位必须具备相关研发优势和生产基础，并能及时落实相关配套资金，项目单位是机关事业单位的编制可行性研究报告，是企业的编制实施方案。 </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——迁飞性害虫雷达监测站项目。省级及以上植保科研、教学、推广单位储备申报，项目单位要编制可行性研究报告。</w:t>
      </w:r>
      <w:r>
        <w:rPr>
          <w:rFonts w:hint="eastAsia" w:ascii="黑体" w:hAnsi="黑体" w:eastAsia="黑体" w:cs="黑体"/>
          <w:color w:val="auto"/>
          <w:sz w:val="32"/>
          <w:szCs w:val="32"/>
          <w:highlight w:val="none"/>
          <w:lang w:eastAsia="zh-CN"/>
        </w:rPr>
        <w:t xml:space="preserve"> </w:t>
      </w:r>
    </w:p>
    <w:p>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楷体_GB2312" w:cs="Times New Roman"/>
          <w:b/>
          <w:bCs/>
          <w:color w:val="auto"/>
          <w:sz w:val="32"/>
          <w:szCs w:val="32"/>
          <w:highlight w:val="none"/>
          <w:lang w:eastAsia="zh-CN"/>
        </w:rPr>
      </w:pPr>
      <w:r>
        <w:rPr>
          <w:rFonts w:hint="eastAsia" w:ascii="Times New Roman" w:hAnsi="Times New Roman" w:eastAsia="楷体_GB2312" w:cs="Times New Roman"/>
          <w:b/>
          <w:bCs/>
          <w:color w:val="auto"/>
          <w:sz w:val="32"/>
          <w:szCs w:val="32"/>
          <w:highlight w:val="none"/>
          <w:lang w:val="en-US" w:eastAsia="zh-CN"/>
        </w:rPr>
        <w:t>3.</w:t>
      </w:r>
      <w:r>
        <w:rPr>
          <w:rFonts w:hint="eastAsia" w:ascii="Times New Roman" w:hAnsi="Times New Roman" w:eastAsia="楷体_GB2312" w:cs="Times New Roman"/>
          <w:b/>
          <w:bCs/>
          <w:color w:val="auto"/>
          <w:sz w:val="32"/>
          <w:szCs w:val="32"/>
          <w:highlight w:val="none"/>
          <w:lang w:eastAsia="zh-CN"/>
        </w:rPr>
        <w:t>支持比例</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 w:eastAsia="zh-CN"/>
        </w:rPr>
        <w:t>1</w:t>
      </w:r>
      <w:r>
        <w:rPr>
          <w:rFonts w:hint="eastAsia" w:ascii="Times New Roman" w:hAnsi="Times New Roman" w:eastAsia="仿宋_GB2312" w:cs="Times New Roman"/>
          <w:b/>
          <w:bCs/>
          <w:color w:val="auto"/>
          <w:sz w:val="32"/>
          <w:szCs w:val="32"/>
          <w:highlight w:val="none"/>
          <w:lang w:eastAsia="zh-CN"/>
        </w:rPr>
        <w:t>）高标准农田建设项目。</w:t>
      </w:r>
      <w:r>
        <w:rPr>
          <w:rFonts w:hint="eastAsia" w:ascii="Times New Roman" w:hAnsi="Times New Roman" w:eastAsia="仿宋_GB2312" w:cs="Times New Roman"/>
          <w:color w:val="auto"/>
          <w:sz w:val="32"/>
          <w:szCs w:val="32"/>
          <w:highlight w:val="none"/>
          <w:lang w:eastAsia="zh-CN"/>
        </w:rPr>
        <w:t xml:space="preserve">按照新建和改造提升亩均2400元、2200元投资标准予以补助。 </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 w:eastAsia="zh-CN"/>
        </w:rPr>
        <w:t>2</w:t>
      </w:r>
      <w:r>
        <w:rPr>
          <w:rFonts w:hint="eastAsia" w:ascii="Times New Roman" w:hAnsi="Times New Roman" w:eastAsia="仿宋_GB2312" w:cs="Times New Roman"/>
          <w:b/>
          <w:bCs/>
          <w:color w:val="auto"/>
          <w:sz w:val="32"/>
          <w:szCs w:val="32"/>
          <w:highlight w:val="none"/>
          <w:lang w:eastAsia="zh-CN"/>
        </w:rPr>
        <w:t>）大豆玉米单产提升工程项目。</w:t>
      </w:r>
      <w:r>
        <w:rPr>
          <w:rFonts w:hint="eastAsia" w:ascii="Times New Roman" w:hAnsi="Times New Roman" w:eastAsia="仿宋_GB2312" w:cs="Times New Roman"/>
          <w:color w:val="auto"/>
          <w:sz w:val="32"/>
          <w:szCs w:val="32"/>
          <w:highlight w:val="none"/>
          <w:lang w:eastAsia="zh-CN"/>
        </w:rPr>
        <w:t xml:space="preserve">按照大豆单产提升亩均 400元、玉米单产提升亩均300元投资标准予以补助。 </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 w:eastAsia="zh-CN"/>
        </w:rPr>
        <w:t>3</w:t>
      </w:r>
      <w:r>
        <w:rPr>
          <w:rFonts w:hint="eastAsia" w:ascii="Times New Roman" w:hAnsi="Times New Roman" w:eastAsia="仿宋_GB2312" w:cs="Times New Roman"/>
          <w:b/>
          <w:bCs/>
          <w:color w:val="auto"/>
          <w:sz w:val="32"/>
          <w:szCs w:val="32"/>
          <w:highlight w:val="none"/>
          <w:lang w:eastAsia="zh-CN"/>
        </w:rPr>
        <w:t>）现代种业提升工程项目。</w:t>
      </w:r>
      <w:r>
        <w:rPr>
          <w:rFonts w:hint="eastAsia" w:ascii="Times New Roman" w:hAnsi="Times New Roman" w:eastAsia="仿宋_GB2312" w:cs="Times New Roman"/>
          <w:color w:val="auto"/>
          <w:sz w:val="32"/>
          <w:szCs w:val="32"/>
          <w:highlight w:val="none"/>
          <w:lang w:eastAsia="zh-CN"/>
        </w:rPr>
        <w:t xml:space="preserve">单个项目中央投资不低于1000万元、不高于1200万元，比例不超过总投资的40%。 </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黑体" w:hAnsi="黑体" w:eastAsia="黑体" w:cs="黑体"/>
          <w:color w:val="auto"/>
          <w:sz w:val="32"/>
          <w:szCs w:val="32"/>
          <w:highlight w:val="none"/>
          <w:lang w:eastAsia="zh-CN"/>
        </w:rPr>
      </w:pPr>
      <w:r>
        <w:rPr>
          <w:rFonts w:hint="eastAsia"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 w:eastAsia="zh-CN"/>
        </w:rPr>
        <w:t>4</w:t>
      </w:r>
      <w:r>
        <w:rPr>
          <w:rFonts w:hint="eastAsia" w:ascii="Times New Roman" w:hAnsi="Times New Roman" w:eastAsia="仿宋_GB2312" w:cs="Times New Roman"/>
          <w:b/>
          <w:bCs/>
          <w:color w:val="auto"/>
          <w:sz w:val="32"/>
          <w:szCs w:val="32"/>
          <w:highlight w:val="none"/>
          <w:lang w:eastAsia="zh-CN"/>
        </w:rPr>
        <w:t>）动植物保护能力提升工程项目。</w:t>
      </w:r>
      <w:r>
        <w:rPr>
          <w:rFonts w:hint="eastAsia" w:ascii="Times New Roman" w:hAnsi="Times New Roman" w:eastAsia="仿宋_GB2312" w:cs="Times New Roman"/>
          <w:color w:val="auto"/>
          <w:sz w:val="32"/>
          <w:szCs w:val="32"/>
          <w:highlight w:val="none"/>
          <w:lang w:eastAsia="zh-CN"/>
        </w:rPr>
        <w:t>陆生动物疫病病原学监测区域中心单个项目中央投资不超过 200 万元，比例不超过总投资的80%。动物防疫指定通道（公路动物防疫监督检查站）单个项目中央投资不超过40万元，比例不超过总投资的80%。病死畜禽无害化收集处理场单个项目中央定额投资200万元，地方投资和企业自有投资不少于300万元。全国农作物病虫疫情监测分中心（省级）田间监测点项目，中央投资占项目总投资比例不超过80%，监测点项目县中央投资规模控制在300 万元以内，每个监测点中央投资改建25万元、新建35万元，重点监测点每个再增加30万元，每个县级信息处理平台30万元。重大病虫疫情区域应急防控设施及物资储备库单个项目中央投资不超过2000万元，地方配套资金或单位自筹资金不低于中央投资。天敌微生物等绿色防控产品生产繁育基地单个项目中央投资不超过500万元，承建单位配套投资不少于中央投资。迁飞性害虫雷达监测站单个项目中央投资不超过200万元，比例不超过总投资的80%。</w:t>
      </w:r>
      <w:r>
        <w:rPr>
          <w:rFonts w:hint="eastAsia" w:ascii="黑体" w:hAnsi="黑体" w:eastAsia="黑体" w:cs="黑体"/>
          <w:color w:val="auto"/>
          <w:sz w:val="32"/>
          <w:szCs w:val="32"/>
          <w:highlight w:val="none"/>
          <w:lang w:eastAsia="zh-CN"/>
        </w:rPr>
        <w:t xml:space="preserve"> </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十、乡村振兴专项</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1.政策依据</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国家发改委《关于印发&lt;乡村振兴（和美乡村建设及农村产业融合发展方向）中央预算内投资专项管理办法&gt;的通知》</w:t>
      </w:r>
      <w:r>
        <w:rPr>
          <w:rFonts w:hint="default" w:ascii="Times New Roman" w:hAnsi="Times New Roman" w:eastAsia="仿宋_GB2312" w:cs="Times New Roman"/>
          <w:color w:val="auto"/>
          <w:sz w:val="32"/>
          <w:szCs w:val="32"/>
          <w:highlight w:val="none"/>
        </w:rPr>
        <w:t>（发改农经规〔202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1723</w:t>
      </w:r>
      <w:r>
        <w:rPr>
          <w:rFonts w:hint="default" w:ascii="Times New Roman" w:hAnsi="Times New Roman" w:eastAsia="仿宋_GB2312" w:cs="Times New Roman"/>
          <w:color w:val="auto"/>
          <w:sz w:val="32"/>
          <w:szCs w:val="32"/>
          <w:highlight w:val="none"/>
        </w:rPr>
        <w:t>号）</w:t>
      </w:r>
      <w:r>
        <w:rPr>
          <w:rFonts w:hint="eastAsia" w:ascii="Times New Roman" w:hAnsi="Times New Roman" w:eastAsia="仿宋_GB2312" w:cs="Times New Roman"/>
          <w:color w:val="auto"/>
          <w:sz w:val="32"/>
          <w:szCs w:val="32"/>
          <w:highlight w:val="none"/>
          <w:lang w:val="en" w:eastAsia="zh-CN"/>
        </w:rPr>
        <w:t>、</w:t>
      </w:r>
      <w:r>
        <w:rPr>
          <w:rFonts w:hint="eastAsia" w:ascii="Times New Roman" w:hAnsi="Times New Roman" w:eastAsia="仿宋_GB2312" w:cs="Times New Roman"/>
          <w:color w:val="auto"/>
          <w:kern w:val="2"/>
          <w:sz w:val="32"/>
          <w:szCs w:val="32"/>
          <w:highlight w:val="none"/>
          <w:lang w:val="en-US" w:eastAsia="zh-CN" w:bidi="ar-SA"/>
        </w:rPr>
        <w:t>安徽省发展改革委安徽省农业农村厅安徽省应急管理厅安徽省林业局《关于做好 2025年农业、乡村振兴、生态保护修复领域中央投资项目储备工作的通知》（皖发改农经〔2024〕477号）</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2.支持范围</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val="0"/>
          <w:bCs w:val="0"/>
          <w:color w:val="auto"/>
          <w:sz w:val="32"/>
          <w:szCs w:val="32"/>
          <w:highlight w:val="none"/>
          <w:lang w:eastAsia="zh-CN"/>
        </w:rPr>
      </w:pPr>
      <w:r>
        <w:rPr>
          <w:rFonts w:ascii="楷体_GB2312" w:hAnsi="楷体_GB2312" w:eastAsia="楷体_GB2312" w:cs="楷体_GB2312"/>
          <w:b/>
          <w:bCs/>
          <w:color w:val="auto"/>
          <w:sz w:val="32"/>
          <w:szCs w:val="32"/>
          <w:highlight w:val="none"/>
        </w:rPr>
        <w:t>（</w:t>
      </w:r>
      <w:r>
        <w:rPr>
          <w:rFonts w:hint="default" w:ascii="楷体_GB2312" w:hAnsi="楷体_GB2312" w:eastAsia="楷体_GB2312" w:cs="楷体_GB2312"/>
          <w:b/>
          <w:bCs/>
          <w:color w:val="auto"/>
          <w:sz w:val="32"/>
          <w:szCs w:val="32"/>
          <w:highlight w:val="none"/>
          <w:lang w:val="en"/>
        </w:rPr>
        <w:t>1</w:t>
      </w:r>
      <w:r>
        <w:rPr>
          <w:rFonts w:ascii="楷体_GB2312" w:hAnsi="楷体_GB2312" w:eastAsia="楷体_GB2312" w:cs="楷体_GB2312"/>
          <w:b/>
          <w:bCs/>
          <w:color w:val="auto"/>
          <w:sz w:val="32"/>
          <w:szCs w:val="32"/>
          <w:highlight w:val="none"/>
        </w:rPr>
        <w:t>）和美乡村建设项目</w:t>
      </w:r>
      <w:r>
        <w:rPr>
          <w:rFonts w:hint="eastAsia" w:ascii="楷体_GB2312" w:hAnsi="楷体_GB2312" w:eastAsia="楷体_GB2312" w:cs="楷体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村庄公共设施，</w:t>
      </w:r>
      <w:r>
        <w:rPr>
          <w:rFonts w:hint="eastAsia" w:ascii="仿宋_GB2312" w:hAnsi="仿宋_GB2312" w:eastAsia="仿宋_GB2312" w:cs="仿宋_GB2312"/>
          <w:b w:val="0"/>
          <w:bCs w:val="0"/>
          <w:color w:val="auto"/>
          <w:sz w:val="32"/>
          <w:szCs w:val="32"/>
          <w:highlight w:val="none"/>
          <w:lang w:eastAsia="zh-CN"/>
        </w:rPr>
        <w:t>主要是村内道路、公共照明、公共绿地等基础设施建设，以及必要的公共服务设施。</w:t>
      </w:r>
      <w:r>
        <w:rPr>
          <w:rFonts w:hint="eastAsia" w:ascii="仿宋_GB2312" w:hAnsi="仿宋_GB2312" w:eastAsia="仿宋_GB2312" w:cs="仿宋_GB2312"/>
          <w:b/>
          <w:bCs/>
          <w:color w:val="auto"/>
          <w:sz w:val="32"/>
          <w:szCs w:val="32"/>
          <w:highlight w:val="none"/>
          <w:lang w:eastAsia="zh-CN"/>
        </w:rPr>
        <w:t>农村生活污水处理设施，</w:t>
      </w:r>
      <w:r>
        <w:rPr>
          <w:rFonts w:hint="eastAsia" w:ascii="仿宋_GB2312" w:hAnsi="仿宋_GB2312" w:eastAsia="仿宋_GB2312" w:cs="仿宋_GB2312"/>
          <w:b w:val="0"/>
          <w:bCs w:val="0"/>
          <w:color w:val="auto"/>
          <w:sz w:val="32"/>
          <w:szCs w:val="32"/>
          <w:highlight w:val="none"/>
          <w:lang w:eastAsia="zh-CN"/>
        </w:rPr>
        <w:t>主要是整村或联村集中式处理设施和配套管网建设，以及接入城镇污水管网的管道建设。</w:t>
      </w:r>
      <w:r>
        <w:rPr>
          <w:rFonts w:hint="eastAsia" w:ascii="仿宋_GB2312" w:hAnsi="仿宋_GB2312" w:eastAsia="仿宋_GB2312" w:cs="仿宋_GB2312"/>
          <w:b/>
          <w:bCs/>
          <w:color w:val="auto"/>
          <w:sz w:val="32"/>
          <w:szCs w:val="32"/>
          <w:highlight w:val="none"/>
          <w:lang w:eastAsia="zh-CN"/>
        </w:rPr>
        <w:t>农村生活垃圾处理设施，</w:t>
      </w:r>
      <w:r>
        <w:rPr>
          <w:rFonts w:hint="eastAsia" w:ascii="仿宋_GB2312" w:hAnsi="仿宋_GB2312" w:eastAsia="仿宋_GB2312" w:cs="仿宋_GB2312"/>
          <w:b w:val="0"/>
          <w:bCs w:val="0"/>
          <w:color w:val="auto"/>
          <w:sz w:val="32"/>
          <w:szCs w:val="32"/>
          <w:highlight w:val="none"/>
          <w:lang w:eastAsia="zh-CN"/>
        </w:rPr>
        <w:t>主要是生活垃圾转运、处置设施建设。鼓励集中建设区域农村有机废弃物综合处置利用设施，协同推进农村有机生活垃圾、厕所粪污、农业生产有机废弃物就地就近就农处理和资源化利用。</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val="en-US" w:eastAsia="zh-CN"/>
        </w:rPr>
        <w:t>2</w:t>
      </w:r>
      <w:r>
        <w:rPr>
          <w:rFonts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val="en-US" w:eastAsia="zh-CN"/>
        </w:rPr>
        <w:t>农村产业融合发展项目</w:t>
      </w:r>
      <w:r>
        <w:rPr>
          <w:rFonts w:hint="eastAsia" w:ascii="楷体_GB2312" w:hAnsi="楷体_GB2312" w:eastAsia="楷体_GB2312" w:cs="楷体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农业生产基地配套基础设施，</w:t>
      </w:r>
      <w:r>
        <w:rPr>
          <w:rFonts w:hint="eastAsia" w:ascii="仿宋_GB2312" w:hAnsi="仿宋_GB2312" w:eastAsia="仿宋_GB2312" w:cs="仿宋_GB2312"/>
          <w:b w:val="0"/>
          <w:bCs w:val="0"/>
          <w:color w:val="auto"/>
          <w:sz w:val="32"/>
          <w:szCs w:val="32"/>
          <w:highlight w:val="none"/>
          <w:lang w:eastAsia="zh-CN"/>
        </w:rPr>
        <w:t>主要是农业种植养殖基地的灌溉排水、电力增容、生产道路、农业生产、污水处理等设施。</w:t>
      </w:r>
      <w:r>
        <w:rPr>
          <w:rFonts w:hint="eastAsia" w:ascii="仿宋_GB2312" w:hAnsi="仿宋_GB2312" w:eastAsia="仿宋_GB2312" w:cs="仿宋_GB2312"/>
          <w:b/>
          <w:bCs/>
          <w:color w:val="auto"/>
          <w:sz w:val="32"/>
          <w:szCs w:val="32"/>
          <w:highlight w:val="none"/>
          <w:lang w:eastAsia="zh-CN"/>
        </w:rPr>
        <w:t>农产品加工流通集聚区配套基础设施，</w:t>
      </w:r>
      <w:r>
        <w:rPr>
          <w:rFonts w:hint="eastAsia" w:ascii="仿宋_GB2312" w:hAnsi="仿宋_GB2312" w:eastAsia="仿宋_GB2312" w:cs="仿宋_GB2312"/>
          <w:b w:val="0"/>
          <w:bCs w:val="0"/>
          <w:color w:val="auto"/>
          <w:sz w:val="32"/>
          <w:szCs w:val="32"/>
          <w:highlight w:val="none"/>
          <w:lang w:eastAsia="zh-CN"/>
        </w:rPr>
        <w:t>主要是服务聚集区内农产品加工流通企业的公用性保鲜、检验检测、集聚区内部公共道路等设施。</w:t>
      </w:r>
      <w:r>
        <w:rPr>
          <w:rFonts w:hint="eastAsia" w:ascii="仿宋_GB2312" w:hAnsi="仿宋_GB2312" w:eastAsia="仿宋_GB2312" w:cs="仿宋_GB2312"/>
          <w:b/>
          <w:bCs/>
          <w:color w:val="auto"/>
          <w:sz w:val="32"/>
          <w:szCs w:val="32"/>
          <w:highlight w:val="none"/>
          <w:lang w:eastAsia="zh-CN"/>
        </w:rPr>
        <w:t>促进乡村农文旅融合发展的给排水、污水处理、道路等设施。</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3.申报要求</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color w:val="auto"/>
          <w:highlight w:val="none"/>
          <w:lang w:eastAsia="zh-CN"/>
        </w:rPr>
      </w:pPr>
      <w:r>
        <w:rPr>
          <w:rFonts w:ascii="楷体_GB2312" w:hAnsi="楷体_GB2312" w:eastAsia="楷体_GB2312" w:cs="楷体_GB2312"/>
          <w:b/>
          <w:bCs/>
          <w:color w:val="auto"/>
          <w:sz w:val="32"/>
          <w:szCs w:val="32"/>
          <w:highlight w:val="none"/>
        </w:rPr>
        <w:t>（</w:t>
      </w:r>
      <w:r>
        <w:rPr>
          <w:rFonts w:hint="default" w:ascii="楷体_GB2312" w:hAnsi="楷体_GB2312" w:eastAsia="楷体_GB2312" w:cs="楷体_GB2312"/>
          <w:b/>
          <w:bCs/>
          <w:color w:val="auto"/>
          <w:sz w:val="32"/>
          <w:szCs w:val="32"/>
          <w:highlight w:val="none"/>
          <w:lang w:val="en"/>
        </w:rPr>
        <w:t>1</w:t>
      </w:r>
      <w:r>
        <w:rPr>
          <w:rFonts w:ascii="楷体_GB2312" w:hAnsi="楷体_GB2312" w:eastAsia="楷体_GB2312" w:cs="楷体_GB2312"/>
          <w:b/>
          <w:bCs/>
          <w:color w:val="auto"/>
          <w:sz w:val="32"/>
          <w:szCs w:val="32"/>
          <w:highlight w:val="none"/>
        </w:rPr>
        <w:t>）和美乡村建设项目</w:t>
      </w:r>
      <w:r>
        <w:rPr>
          <w:rFonts w:hint="eastAsia" w:ascii="楷体_GB2312" w:hAnsi="楷体_GB2312" w:eastAsia="楷体_GB2312" w:cs="楷体_GB2312"/>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以县（市、区）为单位储备申报，要选择</w:t>
      </w:r>
      <w:r>
        <w:rPr>
          <w:rFonts w:hint="eastAsia" w:ascii="Times New Roman" w:hAnsi="Times New Roman" w:eastAsia="仿宋_GB2312" w:cs="Times New Roman"/>
          <w:color w:val="auto"/>
          <w:sz w:val="32"/>
          <w:szCs w:val="32"/>
          <w:highlight w:val="none"/>
          <w:lang w:val="en-US" w:eastAsia="zh-CN"/>
        </w:rPr>
        <w:t>村庄类别</w:t>
      </w:r>
      <w:r>
        <w:rPr>
          <w:rFonts w:hint="default" w:ascii="Times New Roman" w:hAnsi="Times New Roman" w:eastAsia="仿宋_GB2312" w:cs="Times New Roman"/>
          <w:color w:val="auto"/>
          <w:sz w:val="32"/>
          <w:szCs w:val="32"/>
          <w:highlight w:val="none"/>
        </w:rPr>
        <w:t>集聚提升类村庄，优先支持常住人口在</w:t>
      </w:r>
      <w:r>
        <w:rPr>
          <w:rFonts w:hint="eastAsia" w:ascii="Times New Roman" w:hAnsi="Times New Roman" w:eastAsia="仿宋_GB2312" w:cs="Times New Roman"/>
          <w:color w:val="auto"/>
          <w:sz w:val="32"/>
          <w:szCs w:val="32"/>
          <w:highlight w:val="none"/>
          <w:lang w:val="en-US" w:eastAsia="zh-CN"/>
        </w:rPr>
        <w:t>2000</w:t>
      </w:r>
      <w:r>
        <w:rPr>
          <w:rFonts w:hint="default" w:ascii="Times New Roman" w:hAnsi="Times New Roman" w:eastAsia="仿宋_GB2312" w:cs="Times New Roman"/>
          <w:color w:val="auto"/>
          <w:sz w:val="32"/>
          <w:szCs w:val="32"/>
          <w:highlight w:val="none"/>
        </w:rPr>
        <w:t>人以上的村庄，</w:t>
      </w:r>
      <w:r>
        <w:rPr>
          <w:rFonts w:hint="eastAsia" w:ascii="Times New Roman" w:hAnsi="Times New Roman" w:eastAsia="仿宋_GB2312" w:cs="Times New Roman"/>
          <w:color w:val="auto"/>
          <w:sz w:val="32"/>
          <w:szCs w:val="32"/>
          <w:highlight w:val="none"/>
          <w:lang w:val="en-US" w:eastAsia="zh-CN"/>
        </w:rPr>
        <w:t>村庄规划编制需完成审批，村集体经济收入20万元以上。</w:t>
      </w:r>
      <w:r>
        <w:rPr>
          <w:rFonts w:hint="default" w:ascii="Times New Roman" w:hAnsi="Times New Roman" w:eastAsia="仿宋_GB2312" w:cs="Times New Roman"/>
          <w:color w:val="auto"/>
          <w:sz w:val="32"/>
          <w:szCs w:val="32"/>
          <w:highlight w:val="none"/>
        </w:rPr>
        <w:t>各市</w:t>
      </w:r>
      <w:r>
        <w:rPr>
          <w:rFonts w:hint="default" w:ascii="Times New Roman" w:hAnsi="Times New Roman" w:eastAsia="仿宋_GB2312" w:cs="Times New Roman"/>
          <w:color w:val="auto"/>
          <w:sz w:val="32"/>
          <w:szCs w:val="32"/>
          <w:highlight w:val="none"/>
          <w:lang w:val="en-US" w:eastAsia="zh-CN"/>
        </w:rPr>
        <w:t>储备申报原则上不超过1个，下辖县（市、区</w:t>
      </w:r>
      <w:r>
        <w:rPr>
          <w:rFonts w:hint="default" w:ascii="Times New Roman" w:hAnsi="Times New Roman" w:eastAsia="仿宋_GB2312" w:cs="Times New Roman"/>
          <w:color w:val="auto"/>
          <w:sz w:val="32"/>
          <w:szCs w:val="32"/>
          <w:highlight w:val="none"/>
        </w:rPr>
        <w:t>）较多的市可适当增加项目个数。</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sz w:val="32"/>
          <w:szCs w:val="32"/>
          <w:highlight w:val="none"/>
          <w:lang w:eastAsia="zh-CN"/>
        </w:rPr>
      </w:pPr>
      <w:r>
        <w:rPr>
          <w:rFonts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val="en-US" w:eastAsia="zh-CN"/>
        </w:rPr>
        <w:t>2</w:t>
      </w:r>
      <w:r>
        <w:rPr>
          <w:rFonts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val="en-US" w:eastAsia="zh-CN"/>
        </w:rPr>
        <w:t>农村产业融合发展项目</w:t>
      </w:r>
      <w:r>
        <w:rPr>
          <w:rFonts w:hint="eastAsia" w:ascii="楷体_GB2312" w:hAnsi="楷体_GB2312" w:eastAsia="楷体_GB2312" w:cs="楷体_GB2312"/>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以县（市、区）为单位储备申报，优先支持乡村振兴重点帮扶县、大型易地扶贫搬迁安置区周边和相关部门联合认定的国家农村产业融合发展示范园范围内的项目，以点带面促进乡村产业高质量发展，项目单位要编制可行性研究报告。各市储备申报原则上不超过1个，下辖县（市、区）较多的市可适当增加项目个数。</w:t>
      </w:r>
    </w:p>
    <w:p>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楷体_GB2312" w:cs="Times New Roman"/>
          <w:b/>
          <w:bCs/>
          <w:color w:val="auto"/>
          <w:sz w:val="32"/>
          <w:szCs w:val="32"/>
          <w:highlight w:val="none"/>
          <w:lang w:eastAsia="zh-CN"/>
        </w:rPr>
      </w:pPr>
      <w:r>
        <w:rPr>
          <w:rFonts w:hint="eastAsia" w:ascii="Times New Roman" w:hAnsi="Times New Roman" w:eastAsia="楷体_GB2312" w:cs="Times New Roman"/>
          <w:b/>
          <w:bCs/>
          <w:color w:val="auto"/>
          <w:sz w:val="32"/>
          <w:szCs w:val="32"/>
          <w:highlight w:val="none"/>
          <w:lang w:val="en-US" w:eastAsia="zh-CN"/>
        </w:rPr>
        <w:t>4.</w:t>
      </w:r>
      <w:r>
        <w:rPr>
          <w:rFonts w:hint="eastAsia" w:ascii="Times New Roman" w:hAnsi="Times New Roman" w:eastAsia="楷体_GB2312" w:cs="Times New Roman"/>
          <w:b/>
          <w:bCs/>
          <w:color w:val="auto"/>
          <w:sz w:val="32"/>
          <w:szCs w:val="32"/>
          <w:highlight w:val="none"/>
          <w:lang w:eastAsia="zh-CN"/>
        </w:rPr>
        <w:t>支持比例</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sz w:val="32"/>
          <w:szCs w:val="32"/>
          <w:highlight w:val="none"/>
          <w:lang w:val="en-US" w:eastAsia="zh-CN"/>
        </w:rPr>
      </w:pPr>
      <w:r>
        <w:rPr>
          <w:rFonts w:ascii="楷体_GB2312" w:hAnsi="楷体_GB2312" w:eastAsia="楷体_GB2312" w:cs="楷体_GB2312"/>
          <w:b/>
          <w:bCs/>
          <w:color w:val="auto"/>
          <w:sz w:val="32"/>
          <w:szCs w:val="32"/>
          <w:highlight w:val="none"/>
        </w:rPr>
        <w:t>（</w:t>
      </w:r>
      <w:r>
        <w:rPr>
          <w:rFonts w:hint="default" w:ascii="楷体_GB2312" w:hAnsi="楷体_GB2312" w:eastAsia="楷体_GB2312" w:cs="楷体_GB2312"/>
          <w:b/>
          <w:bCs/>
          <w:color w:val="auto"/>
          <w:sz w:val="32"/>
          <w:szCs w:val="32"/>
          <w:highlight w:val="none"/>
          <w:lang w:val="en"/>
        </w:rPr>
        <w:t>1</w:t>
      </w:r>
      <w:r>
        <w:rPr>
          <w:rFonts w:ascii="楷体_GB2312" w:hAnsi="楷体_GB2312" w:eastAsia="楷体_GB2312" w:cs="楷体_GB2312"/>
          <w:b/>
          <w:bCs/>
          <w:color w:val="auto"/>
          <w:sz w:val="32"/>
          <w:szCs w:val="32"/>
          <w:highlight w:val="none"/>
        </w:rPr>
        <w:t>）和美乡村建设项目</w:t>
      </w:r>
      <w:r>
        <w:rPr>
          <w:rFonts w:hint="eastAsia" w:ascii="楷体_GB2312" w:hAnsi="楷体_GB2312" w:eastAsia="楷体_GB2312" w:cs="楷体_GB2312"/>
          <w:b/>
          <w:bCs/>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每个项目县安排的中央预算内投资规模不超过8000万元，其中，常住人口在1000人以上的行政村安排中央预算内投资不超过300万元，常住人口在2000人以上的行政村安排中央预算内投资不超过500万元。</w:t>
      </w:r>
    </w:p>
    <w:p>
      <w:pPr>
        <w:keepNext w:val="0"/>
        <w:keepLines w:val="0"/>
        <w:pageBreakBefore w:val="0"/>
        <w:kinsoku/>
        <w:wordWrap/>
        <w:overflowPunct/>
        <w:topLinePunct w:val="0"/>
        <w:autoSpaceDE/>
        <w:autoSpaceDN/>
        <w:bidi w:val="0"/>
        <w:adjustRightInd/>
        <w:snapToGrid/>
        <w:spacing w:line="540" w:lineRule="exact"/>
        <w:ind w:leftChars="0" w:firstLine="643" w:firstLineChars="200"/>
        <w:jc w:val="both"/>
        <w:textAlignment w:val="auto"/>
        <w:outlineLvl w:val="9"/>
        <w:rPr>
          <w:rFonts w:hint="eastAsia" w:ascii="黑体" w:hAnsi="黑体" w:eastAsia="黑体" w:cs="黑体"/>
          <w:color w:val="auto"/>
          <w:sz w:val="32"/>
          <w:szCs w:val="32"/>
          <w:highlight w:val="none"/>
          <w:lang w:eastAsia="zh-CN"/>
        </w:rPr>
      </w:pPr>
      <w:r>
        <w:rPr>
          <w:rFonts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val="en-US" w:eastAsia="zh-CN"/>
        </w:rPr>
        <w:t>2</w:t>
      </w:r>
      <w:r>
        <w:rPr>
          <w:rFonts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val="en-US" w:eastAsia="zh-CN"/>
        </w:rPr>
        <w:t>农村产业融合发展项目</w:t>
      </w:r>
      <w:r>
        <w:rPr>
          <w:rFonts w:hint="eastAsia" w:ascii="楷体_GB2312" w:hAnsi="楷体_GB2312" w:eastAsia="楷体_GB2312" w:cs="楷体_GB2312"/>
          <w:b/>
          <w:bCs/>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每个项目县安排的中央预算内投资规模不超过4000万元，中央预算内投资不超过总投资的50%。</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十一、以工代赈示范专项</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1.政策依据</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国家发展改革委《国家以工代赈管理办法》（第57号）、</w:t>
      </w:r>
      <w:r>
        <w:rPr>
          <w:rFonts w:hint="default" w:ascii="Times New Roman" w:hAnsi="Times New Roman" w:eastAsia="仿宋_GB2312" w:cs="Times New Roman"/>
          <w:color w:val="auto"/>
          <w:sz w:val="32"/>
          <w:szCs w:val="32"/>
          <w:highlight w:val="none"/>
        </w:rPr>
        <w:t>安徽省发展改革委</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关于做好2025年以工代赈投资建议计划编报工作的通知</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2.支持范围</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b/>
          <w:bCs/>
          <w:color w:val="auto"/>
          <w:sz w:val="32"/>
          <w:szCs w:val="32"/>
          <w:highlight w:val="none"/>
          <w:lang w:eastAsia="zh-CN"/>
        </w:rPr>
        <w:t>（</w:t>
      </w:r>
      <w:r>
        <w:rPr>
          <w:rFonts w:hint="eastAsia" w:ascii="Times New Roman" w:hAnsi="Times New Roman" w:eastAsia="仿宋_GB2312" w:cs="Times New Roman"/>
          <w:b/>
          <w:bCs/>
          <w:color w:val="auto"/>
          <w:sz w:val="32"/>
          <w:szCs w:val="32"/>
          <w:highlight w:val="none"/>
          <w:lang w:val="en-US" w:eastAsia="zh-CN"/>
        </w:rPr>
        <w:t>1</w:t>
      </w:r>
      <w:r>
        <w:rPr>
          <w:rFonts w:hint="eastAsia" w:ascii="Times New Roman" w:hAnsi="Times New Roman" w:eastAsia="仿宋_GB2312" w:cs="Times New Roman"/>
          <w:b/>
          <w:bCs/>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现阶段，中央预算内以工代赈专项投资项目含</w:t>
      </w:r>
      <w:r>
        <w:rPr>
          <w:rFonts w:hint="default" w:ascii="Times New Roman" w:hAnsi="Times New Roman" w:eastAsia="仿宋_GB2312" w:cs="Times New Roman"/>
          <w:color w:val="auto"/>
          <w:kern w:val="2"/>
          <w:sz w:val="32"/>
          <w:szCs w:val="32"/>
          <w:highlight w:val="none"/>
          <w:lang w:val="en-US" w:eastAsia="zh-CN" w:bidi="ar-SA"/>
        </w:rPr>
        <w:t>以工代赈示范工程</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为重点工程项目配套的以工代赈</w:t>
      </w:r>
      <w:r>
        <w:rPr>
          <w:rFonts w:hint="eastAsia" w:ascii="Times New Roman" w:hAnsi="Times New Roman" w:eastAsia="仿宋_GB2312" w:cs="Times New Roman"/>
          <w:color w:val="auto"/>
          <w:kern w:val="2"/>
          <w:sz w:val="32"/>
          <w:szCs w:val="32"/>
          <w:highlight w:val="none"/>
          <w:lang w:val="en-US" w:eastAsia="zh-CN" w:bidi="ar-SA"/>
        </w:rPr>
        <w:t>项目两种类型。</w:t>
      </w:r>
      <w:r>
        <w:rPr>
          <w:rFonts w:hint="eastAsia" w:ascii="Times New Roman" w:hAnsi="Times New Roman" w:eastAsia="仿宋_GB2312" w:cs="Times New Roman"/>
          <w:color w:val="auto"/>
          <w:sz w:val="32"/>
          <w:szCs w:val="32"/>
          <w:highlight w:val="none"/>
          <w:lang w:eastAsia="zh-CN"/>
        </w:rPr>
        <w:t>主要涉及省乡村振兴持续攻坚区、易地扶贫搬迁后续扶持任务较重地区、产粮大县以及受自然灾害影响较重地区，其中为重点工程项目配套的以工代赈项目支持范围可拓展至全省。</w:t>
      </w:r>
    </w:p>
    <w:p>
      <w:pPr>
        <w:keepNext w:val="0"/>
        <w:keepLines w:val="0"/>
        <w:pageBreakBefore w:val="0"/>
        <w:kinsoku/>
        <w:wordWrap/>
        <w:overflowPunct/>
        <w:topLinePunct w:val="0"/>
        <w:autoSpaceDE/>
        <w:autoSpaceDN/>
        <w:bidi w:val="0"/>
        <w:adjustRightInd/>
        <w:snapToGrid/>
        <w:spacing w:line="540" w:lineRule="exact"/>
        <w:ind w:firstLine="321" w:firstLineChars="1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b/>
          <w:bCs/>
          <w:color w:val="auto"/>
          <w:kern w:val="2"/>
          <w:sz w:val="32"/>
          <w:szCs w:val="32"/>
          <w:highlight w:val="none"/>
          <w:lang w:val="en-US" w:eastAsia="zh-CN" w:bidi="ar-SA"/>
        </w:rPr>
        <w:t>（2）</w:t>
      </w:r>
      <w:r>
        <w:rPr>
          <w:rFonts w:hint="default" w:ascii="Times New Roman" w:hAnsi="Times New Roman" w:eastAsia="仿宋_GB2312" w:cs="Times New Roman"/>
          <w:color w:val="auto"/>
          <w:kern w:val="2"/>
          <w:sz w:val="32"/>
          <w:szCs w:val="32"/>
          <w:highlight w:val="none"/>
          <w:lang w:val="en-US" w:eastAsia="zh-CN" w:bidi="ar-SA"/>
        </w:rPr>
        <w:t>包括《国家以工代赈管理办法》明确的中小型公益性基础设施和产业发展配套设施。</w:t>
      </w:r>
      <w:r>
        <w:rPr>
          <w:rFonts w:hint="eastAsia" w:ascii="Times New Roman" w:hAnsi="Times New Roman" w:eastAsia="仿宋_GB2312" w:cs="Times New Roman"/>
          <w:color w:val="auto"/>
          <w:kern w:val="2"/>
          <w:sz w:val="32"/>
          <w:szCs w:val="32"/>
          <w:highlight w:val="none"/>
          <w:lang w:val="en-US" w:eastAsia="zh-CN" w:bidi="ar-SA"/>
        </w:rPr>
        <w:t>其中为重点工程配套的以工代赈中央预算内项目，要</w:t>
      </w:r>
      <w:r>
        <w:rPr>
          <w:rFonts w:hint="default" w:ascii="Times New Roman" w:hAnsi="Times New Roman" w:eastAsia="仿宋_GB2312" w:cs="Times New Roman"/>
          <w:color w:val="auto"/>
          <w:kern w:val="2"/>
          <w:sz w:val="32"/>
          <w:szCs w:val="32"/>
          <w:highlight w:val="none"/>
          <w:lang w:val="en-US" w:eastAsia="zh-CN" w:bidi="ar-SA"/>
        </w:rPr>
        <w:t>围绕2023年以来适用以工代赈的国家和省、市两级重点工程项目清单，且建设进度为已批复即将开工或已开工</w:t>
      </w:r>
      <w:bookmarkStart w:id="159" w:name="_GoBack"/>
      <w:bookmarkEnd w:id="159"/>
      <w:r>
        <w:rPr>
          <w:rFonts w:hint="default" w:ascii="Times New Roman" w:hAnsi="Times New Roman" w:eastAsia="仿宋_GB2312" w:cs="Times New Roman"/>
          <w:color w:val="auto"/>
          <w:kern w:val="2"/>
          <w:sz w:val="32"/>
          <w:szCs w:val="32"/>
          <w:highlight w:val="none"/>
          <w:lang w:val="en-US" w:eastAsia="zh-CN" w:bidi="ar-SA"/>
        </w:rPr>
        <w:t>在建的重点工程项目</w:t>
      </w:r>
      <w:r>
        <w:rPr>
          <w:rFonts w:hint="eastAsia" w:ascii="Times New Roman" w:hAnsi="Times New Roman" w:eastAsia="仿宋_GB2312" w:cs="Times New Roman"/>
          <w:color w:val="auto"/>
          <w:kern w:val="2"/>
          <w:sz w:val="32"/>
          <w:szCs w:val="32"/>
          <w:highlight w:val="none"/>
          <w:lang w:val="en-US" w:eastAsia="zh-CN" w:bidi="ar-SA"/>
        </w:rPr>
        <w:t>，按照《国家以工代赈管理办法》明确的以工代赈专项资金投向范围，将相关基础设施</w:t>
      </w:r>
      <w:r>
        <w:rPr>
          <w:rFonts w:ascii="仿宋_GB2312" w:hAnsi="仿宋_GB2312" w:eastAsia="仿宋_GB2312" w:cs="仿宋_GB2312"/>
          <w:color w:val="auto"/>
          <w:sz w:val="31"/>
          <w:szCs w:val="31"/>
          <w:highlight w:val="none"/>
        </w:rPr>
        <w:t>建设内容谋划为单独的以工代赈项目。</w:t>
      </w:r>
    </w:p>
    <w:p>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楷体_GB2312" w:cs="Times New Roman"/>
          <w:b/>
          <w:bCs/>
          <w:color w:val="auto"/>
          <w:sz w:val="32"/>
          <w:szCs w:val="32"/>
          <w:highlight w:val="none"/>
          <w:lang w:eastAsia="zh-CN"/>
        </w:rPr>
      </w:pPr>
      <w:r>
        <w:rPr>
          <w:rFonts w:hint="eastAsia" w:ascii="Times New Roman" w:hAnsi="Times New Roman" w:eastAsia="楷体_GB2312" w:cs="Times New Roman"/>
          <w:b/>
          <w:bCs/>
          <w:color w:val="auto"/>
          <w:sz w:val="32"/>
          <w:szCs w:val="32"/>
          <w:highlight w:val="none"/>
          <w:lang w:val="en-US" w:eastAsia="zh-CN"/>
        </w:rPr>
        <w:t>3.</w:t>
      </w:r>
      <w:r>
        <w:rPr>
          <w:rFonts w:hint="eastAsia" w:ascii="Times New Roman" w:hAnsi="Times New Roman" w:eastAsia="楷体_GB2312" w:cs="Times New Roman"/>
          <w:b/>
          <w:bCs/>
          <w:color w:val="auto"/>
          <w:sz w:val="32"/>
          <w:szCs w:val="32"/>
          <w:highlight w:val="none"/>
          <w:lang w:eastAsia="zh-CN"/>
        </w:rPr>
        <w:t>支持比例</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单个项目申请中央投资额度不低于200万元、不高于800万元，其中发放的劳务报酬占中央投资的比例应在30%以上并尽量提高。</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十二</w:t>
      </w:r>
      <w:r>
        <w:rPr>
          <w:rFonts w:hint="eastAsia" w:ascii="黑体" w:hAnsi="黑体" w:eastAsia="黑体" w:cs="黑体"/>
          <w:color w:val="auto"/>
          <w:sz w:val="32"/>
          <w:szCs w:val="32"/>
          <w:highlight w:val="none"/>
        </w:rPr>
        <w:t>、</w:t>
      </w:r>
      <w:bookmarkStart w:id="84" w:name="_Toc13236"/>
      <w:bookmarkStart w:id="85" w:name="_Toc22112"/>
      <w:bookmarkStart w:id="86" w:name="_Toc1135"/>
      <w:bookmarkStart w:id="87" w:name="_Toc7458"/>
      <w:bookmarkStart w:id="88" w:name="_Toc1630"/>
      <w:r>
        <w:rPr>
          <w:rFonts w:hint="eastAsia" w:ascii="黑体" w:hAnsi="黑体" w:eastAsia="黑体" w:cs="黑体"/>
          <w:color w:val="auto"/>
          <w:sz w:val="32"/>
          <w:szCs w:val="32"/>
          <w:highlight w:val="none"/>
          <w:lang w:eastAsia="zh-CN"/>
        </w:rPr>
        <w:t>重大区域发展战略建设专项（长三角一体化发展）</w:t>
      </w:r>
      <w:bookmarkEnd w:id="84"/>
      <w:bookmarkEnd w:id="85"/>
      <w:bookmarkEnd w:id="86"/>
      <w:bookmarkEnd w:id="87"/>
      <w:bookmarkEnd w:id="88"/>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1.政策依据</w:t>
      </w:r>
    </w:p>
    <w:p>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国家发展改革委《关于印发</w:t>
      </w:r>
      <w:r>
        <w:rPr>
          <w:rFonts w:hint="eastAsia" w:ascii="Times New Roman" w:hAnsi="Times New Roman" w:eastAsia="仿宋_GB2312" w:cs="Times New Roman"/>
          <w:color w:val="auto"/>
          <w:sz w:val="32"/>
          <w:highlight w:val="none"/>
          <w:lang w:val="en-US" w:eastAsia="zh-CN"/>
        </w:rPr>
        <w:t>&lt;</w:t>
      </w:r>
      <w:r>
        <w:rPr>
          <w:rFonts w:hint="default" w:ascii="Times New Roman" w:hAnsi="Times New Roman" w:eastAsia="仿宋_GB2312" w:cs="Times New Roman"/>
          <w:color w:val="auto"/>
          <w:sz w:val="32"/>
          <w:highlight w:val="none"/>
        </w:rPr>
        <w:t>粤港澳大湾区建设、长江三角洲区域一体化发展中央预算内投资专项管理办法</w:t>
      </w:r>
      <w:r>
        <w:rPr>
          <w:rFonts w:hint="eastAsia" w:ascii="Times New Roman" w:hAnsi="Times New Roman" w:eastAsia="仿宋_GB2312" w:cs="Times New Roman"/>
          <w:color w:val="auto"/>
          <w:sz w:val="32"/>
          <w:highlight w:val="none"/>
          <w:lang w:val="en-US" w:eastAsia="zh-CN"/>
        </w:rPr>
        <w:t>&gt;</w:t>
      </w:r>
      <w:r>
        <w:rPr>
          <w:rFonts w:hint="default" w:ascii="Times New Roman" w:hAnsi="Times New Roman" w:eastAsia="仿宋_GB2312" w:cs="Times New Roman"/>
          <w:color w:val="auto"/>
          <w:sz w:val="32"/>
          <w:highlight w:val="none"/>
        </w:rPr>
        <w:t>的通知》（发改地区规〔2021〕466号）。</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lang w:val="en-US" w:eastAsia="zh-CN"/>
        </w:rPr>
        <w:t>2.支持范围</w:t>
      </w:r>
    </w:p>
    <w:p>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有利于推动形成区域协调发展新格局、创新一体化发展体制机制、推进更高水平协同开放的基础设施互联互通、生态环境共保联治、公共服务合作共享及科创平台项目建设（包括上海科创中心、张江综合性国家科学中心、合肥综合性国家科学中心等）。重点支持安徽省和省际合作园区、省际毗邻区域建设。</w:t>
      </w:r>
    </w:p>
    <w:p>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楷体_GB2312" w:cs="Times New Roman"/>
          <w:b/>
          <w:bCs/>
          <w:color w:val="auto"/>
          <w:sz w:val="32"/>
          <w:szCs w:val="32"/>
          <w:highlight w:val="none"/>
          <w:lang w:eastAsia="zh-CN"/>
        </w:rPr>
      </w:pPr>
      <w:bookmarkStart w:id="89" w:name="_Toc14511"/>
      <w:bookmarkStart w:id="90" w:name="_Toc13029"/>
      <w:bookmarkStart w:id="91" w:name="_Toc14339"/>
      <w:bookmarkStart w:id="92" w:name="_Toc6575"/>
      <w:bookmarkStart w:id="93" w:name="_Toc24087"/>
      <w:bookmarkStart w:id="94" w:name="_Toc2137"/>
      <w:bookmarkStart w:id="95" w:name="_Toc18234"/>
      <w:bookmarkStart w:id="96" w:name="_Toc7595"/>
      <w:bookmarkStart w:id="97" w:name="_Toc8911"/>
      <w:bookmarkStart w:id="98" w:name="_Toc10138"/>
      <w:bookmarkStart w:id="99" w:name="_Toc15985"/>
      <w:bookmarkStart w:id="100" w:name="_Toc14526"/>
      <w:bookmarkStart w:id="101" w:name="_Toc8763"/>
      <w:bookmarkStart w:id="102" w:name="_Toc6884"/>
      <w:r>
        <w:rPr>
          <w:rFonts w:hint="eastAsia" w:ascii="Times New Roman" w:hAnsi="Times New Roman" w:eastAsia="楷体_GB2312" w:cs="Times New Roman"/>
          <w:b/>
          <w:bCs/>
          <w:color w:val="auto"/>
          <w:sz w:val="32"/>
          <w:szCs w:val="32"/>
          <w:highlight w:val="none"/>
          <w:lang w:val="en-US" w:eastAsia="zh-CN"/>
        </w:rPr>
        <w:t>3.</w:t>
      </w:r>
      <w:r>
        <w:rPr>
          <w:rFonts w:hint="eastAsia" w:ascii="Times New Roman" w:hAnsi="Times New Roman" w:eastAsia="楷体_GB2312" w:cs="Times New Roman"/>
          <w:b/>
          <w:bCs/>
          <w:color w:val="auto"/>
          <w:sz w:val="32"/>
          <w:szCs w:val="32"/>
          <w:highlight w:val="none"/>
          <w:lang w:eastAsia="zh-CN"/>
        </w:rPr>
        <w:t>支持比例</w:t>
      </w:r>
    </w:p>
    <w:p>
      <w:pPr>
        <w:keepNext w:val="0"/>
        <w:keepLines w:val="0"/>
        <w:pageBreakBefore w:val="0"/>
        <w:widowControl/>
        <w:suppressLineNumbers w:val="0"/>
        <w:kinsoku/>
        <w:wordWrap/>
        <w:overflowPunct/>
        <w:topLinePunct w:val="0"/>
        <w:autoSpaceDE/>
        <w:autoSpaceDN/>
        <w:bidi w:val="0"/>
        <w:adjustRightInd/>
        <w:snapToGrid/>
        <w:spacing w:line="540" w:lineRule="exact"/>
        <w:ind w:leftChars="0" w:firstLine="640" w:firstLineChars="200"/>
        <w:jc w:val="left"/>
        <w:textAlignment w:val="auto"/>
        <w:rPr>
          <w:rFonts w:hint="eastAsia" w:ascii="Times New Roman" w:hAnsi="Times New Roman" w:eastAsia="楷体_GB2312" w:cs="Times New Roman"/>
          <w:b/>
          <w:bCs/>
          <w:color w:val="auto"/>
          <w:sz w:val="32"/>
          <w:szCs w:val="32"/>
          <w:highlight w:val="none"/>
          <w:lang w:eastAsia="zh-CN"/>
        </w:rPr>
      </w:pPr>
      <w:r>
        <w:rPr>
          <w:rFonts w:hint="default" w:ascii="Times New Roman" w:hAnsi="Times New Roman" w:eastAsia="仿宋_GB2312" w:cs="Times New Roman"/>
          <w:color w:val="auto"/>
          <w:kern w:val="2"/>
          <w:sz w:val="32"/>
          <w:szCs w:val="32"/>
          <w:highlight w:val="none"/>
          <w:lang w:val="en-US" w:eastAsia="zh-CN" w:bidi="ar-SA"/>
        </w:rPr>
        <w:t>没有可参照专项的项目，单个项目原则上不超过固定资产投资额（不含征地拆迁等费用）的45%予以支持。</w:t>
      </w:r>
    </w:p>
    <w:p>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楷体_GB2312" w:cs="Times New Roman"/>
          <w:b/>
          <w:bCs/>
          <w:color w:val="auto"/>
          <w:sz w:val="32"/>
          <w:szCs w:val="32"/>
          <w:highlight w:val="none"/>
          <w:lang w:eastAsia="zh-CN"/>
        </w:rPr>
      </w:pPr>
    </w:p>
    <w:bookmarkEnd w:id="11"/>
    <w:bookmarkEnd w:id="89"/>
    <w:bookmarkEnd w:id="90"/>
    <w:bookmarkEnd w:id="91"/>
    <w:bookmarkEnd w:id="92"/>
    <w:bookmarkEnd w:id="93"/>
    <w:bookmarkEnd w:id="94"/>
    <w:bookmarkEnd w:id="95"/>
    <w:bookmarkEnd w:id="96"/>
    <w:bookmarkEnd w:id="97"/>
    <w:bookmarkEnd w:id="98"/>
    <w:bookmarkEnd w:id="99"/>
    <w:bookmarkEnd w:id="100"/>
    <w:bookmarkEnd w:id="101"/>
    <w:bookmarkEnd w:id="102"/>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十三、节能降碳专项</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1.政策依据</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国家发展改革委《关于印发</w:t>
      </w:r>
      <w:r>
        <w:rPr>
          <w:rFonts w:hint="eastAsia" w:ascii="Times New Roman" w:hAnsi="Times New Roman" w:eastAsia="仿宋_GB2312" w:cs="Times New Roman"/>
          <w:color w:val="auto"/>
          <w:sz w:val="32"/>
          <w:szCs w:val="32"/>
          <w:highlight w:val="none"/>
          <w:lang w:val="en-US" w:eastAsia="zh-CN"/>
        </w:rPr>
        <w:t>&lt;</w:t>
      </w:r>
      <w:r>
        <w:rPr>
          <w:rFonts w:hint="default" w:ascii="Times New Roman" w:hAnsi="Times New Roman" w:eastAsia="仿宋_GB2312" w:cs="Times New Roman"/>
          <w:color w:val="auto"/>
          <w:sz w:val="32"/>
          <w:szCs w:val="32"/>
          <w:highlight w:val="none"/>
        </w:rPr>
        <w:t>节能降碳中央预算内投资专项管理办法</w:t>
      </w:r>
      <w:r>
        <w:rPr>
          <w:rFonts w:hint="eastAsia" w:ascii="Times New Roman" w:hAnsi="Times New Roman" w:eastAsia="仿宋_GB2312" w:cs="Times New Roman"/>
          <w:color w:val="auto"/>
          <w:sz w:val="32"/>
          <w:szCs w:val="32"/>
          <w:highlight w:val="none"/>
          <w:lang w:val="en-US" w:eastAsia="zh-CN"/>
        </w:rPr>
        <w:t>&gt;</w:t>
      </w:r>
      <w:r>
        <w:rPr>
          <w:rFonts w:hint="default" w:ascii="Times New Roman" w:hAnsi="Times New Roman" w:eastAsia="仿宋_GB2312" w:cs="Times New Roman"/>
          <w:color w:val="auto"/>
          <w:sz w:val="32"/>
          <w:szCs w:val="32"/>
          <w:highlight w:val="none"/>
        </w:rPr>
        <w:t>的通知》</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发改环资规〔2024〕338号</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2.支持范围</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w:t>
      </w:r>
      <w:r>
        <w:rPr>
          <w:rFonts w:hint="eastAsia"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rPr>
        <w:t>）碳达峰碳中和先进技术示范及应用项目。</w:t>
      </w:r>
      <w:r>
        <w:rPr>
          <w:rFonts w:hint="default" w:ascii="Times New Roman" w:hAnsi="Times New Roman" w:eastAsia="仿宋_GB2312" w:cs="Times New Roman"/>
          <w:color w:val="auto"/>
          <w:sz w:val="32"/>
          <w:szCs w:val="32"/>
          <w:highlight w:val="none"/>
        </w:rPr>
        <w:t>支持“双碳”领域技术水平领先、减排效果突出、示范效应明显的项目建设，重点支持列入绿色低碳先进技术示范项目清单的项目。支持国家碳达峰试点城市和园区使用生物质能、地热能等可再生能源替代化石能源示范项目。支持规模化碳捕集利用与封存项目建设。</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w:t>
      </w:r>
      <w:r>
        <w:rPr>
          <w:rFonts w:hint="eastAsia"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lang w:val="en-US" w:eastAsia="zh-CN"/>
        </w:rPr>
        <w:t>）重点行业和重点领域节能降碳项目。</w:t>
      </w:r>
      <w:r>
        <w:rPr>
          <w:rFonts w:hint="default" w:ascii="Times New Roman" w:hAnsi="Times New Roman" w:eastAsia="仿宋_GB2312" w:cs="Times New Roman"/>
          <w:color w:val="auto"/>
          <w:sz w:val="32"/>
          <w:szCs w:val="32"/>
          <w:highlight w:val="none"/>
          <w:lang w:val="en-US" w:eastAsia="zh-CN"/>
        </w:rPr>
        <w:t>支持电力、钢铁、有色、建材、石化、化工、焦化、纺织、造纸、印染、机械、数据中心等重点行业重点领域节能降碳改造，重点用能单位和园区能源梯级利用、能量系统优化等综合能效提升，供热基础设施节能升级改造与综合能效提升。</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w:t>
      </w:r>
      <w:r>
        <w:rPr>
          <w:rFonts w:hint="eastAsia"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lang w:val="en-US" w:eastAsia="zh-CN"/>
        </w:rPr>
        <w:t>）循环经济助力降碳项目。</w:t>
      </w:r>
      <w:r>
        <w:rPr>
          <w:rFonts w:hint="default" w:ascii="Times New Roman" w:hAnsi="Times New Roman" w:eastAsia="仿宋_GB2312" w:cs="Times New Roman"/>
          <w:color w:val="auto"/>
          <w:sz w:val="32"/>
          <w:szCs w:val="32"/>
          <w:highlight w:val="none"/>
          <w:lang w:val="en-US" w:eastAsia="zh-CN"/>
        </w:rPr>
        <w:t>支持园区循环化改造、国家“城市矿产”示范基地和资源循环利用基地等升级改造，支持规模化规范回收站点和绿色分拣中心建设，以及废钢铁、废有色金属、废玻璃、废橡胶、废旧汽车、废旧电池、废弃电器电子产品、废旧纺织品、退役风电光伏设备等废弃物循环利用。支持退役设备再制造。支持以农林剩余物资源化利用为主的农业循环经济项目。支持可降解塑料、可循环快递包装、“以竹代塑”产品生产、废塑料回收利用。支持尾矿（共伴生矿）、煤矸石、粉煤灰、冶金渣、工业副产石膏、建筑垃圾等固体废弃物综合利用。支持生物质能源化利用。</w:t>
      </w:r>
    </w:p>
    <w:p>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楷体_GB2312" w:cs="Times New Roman"/>
          <w:b/>
          <w:bCs/>
          <w:color w:val="auto"/>
          <w:sz w:val="32"/>
          <w:szCs w:val="32"/>
          <w:highlight w:val="none"/>
          <w:lang w:eastAsia="zh-CN"/>
        </w:rPr>
      </w:pPr>
      <w:r>
        <w:rPr>
          <w:rFonts w:hint="eastAsia" w:ascii="Times New Roman" w:hAnsi="Times New Roman" w:eastAsia="楷体_GB2312" w:cs="Times New Roman"/>
          <w:b/>
          <w:bCs/>
          <w:color w:val="auto"/>
          <w:sz w:val="32"/>
          <w:szCs w:val="32"/>
          <w:highlight w:val="none"/>
          <w:lang w:val="en-US" w:eastAsia="zh-CN"/>
        </w:rPr>
        <w:t>3.</w:t>
      </w:r>
      <w:r>
        <w:rPr>
          <w:rFonts w:hint="eastAsia" w:ascii="Times New Roman" w:hAnsi="Times New Roman" w:eastAsia="楷体_GB2312" w:cs="Times New Roman"/>
          <w:b/>
          <w:bCs/>
          <w:color w:val="auto"/>
          <w:sz w:val="32"/>
          <w:szCs w:val="32"/>
          <w:highlight w:val="none"/>
          <w:lang w:eastAsia="zh-CN"/>
        </w:rPr>
        <w:t>支持比例</w:t>
      </w:r>
    </w:p>
    <w:p>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列入绿色低碳先进技术示范项目清单的</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参照技术攻关管理并按支持资金不超过项目总投资的30%控制</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其他碳达峰碳中和先进技术示范及应用项目、重点行业和重点领域节能降碳项目支持资金按不超过项目总投资的20%控制，循环经济助力降碳项目支持资金按不超过项目总投资的15%控制</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单个项目支持资金原则上不超过1亿元。</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十四、污染治理专项</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1.政策依据</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eastAsia="zh-CN"/>
        </w:rPr>
        <w:t>国家发展改革委《关于印发</w:t>
      </w:r>
      <w:r>
        <w:rPr>
          <w:rFonts w:hint="eastAsia" w:ascii="Times New Roman" w:hAnsi="Times New Roman" w:eastAsia="仿宋_GB2312" w:cs="Times New Roman"/>
          <w:color w:val="auto"/>
          <w:sz w:val="32"/>
          <w:szCs w:val="32"/>
          <w:highlight w:val="none"/>
          <w:lang w:val="en-US" w:eastAsia="zh-CN"/>
        </w:rPr>
        <w:t>&lt;</w:t>
      </w:r>
      <w:r>
        <w:rPr>
          <w:rFonts w:hint="eastAsia" w:ascii="Times New Roman" w:hAnsi="Times New Roman" w:eastAsia="仿宋_GB2312" w:cs="Times New Roman"/>
          <w:color w:val="auto"/>
          <w:sz w:val="32"/>
          <w:szCs w:val="32"/>
          <w:highlight w:val="none"/>
          <w:lang w:eastAsia="zh-CN"/>
        </w:rPr>
        <w:t>污染治理中央预算内投资专项管理办法</w:t>
      </w:r>
      <w:r>
        <w:rPr>
          <w:rFonts w:hint="eastAsia" w:ascii="Times New Roman" w:hAnsi="Times New Roman" w:eastAsia="仿宋_GB2312" w:cs="Times New Roman"/>
          <w:color w:val="auto"/>
          <w:sz w:val="32"/>
          <w:szCs w:val="32"/>
          <w:highlight w:val="none"/>
          <w:lang w:val="en-US" w:eastAsia="zh-CN"/>
        </w:rPr>
        <w:t>&gt;</w:t>
      </w:r>
      <w:r>
        <w:rPr>
          <w:rFonts w:hint="eastAsia" w:ascii="Times New Roman" w:hAnsi="Times New Roman" w:eastAsia="仿宋_GB2312" w:cs="Times New Roman"/>
          <w:color w:val="auto"/>
          <w:sz w:val="32"/>
          <w:szCs w:val="32"/>
          <w:highlight w:val="none"/>
          <w:lang w:eastAsia="zh-CN"/>
        </w:rPr>
        <w:t>的通知》（发改环资规〔2024〕337号）。</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2.支持范围</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（1）城镇环境基础设施建设。</w:t>
      </w:r>
      <w:r>
        <w:rPr>
          <w:rFonts w:hint="eastAsia" w:ascii="Times New Roman" w:hAnsi="Times New Roman" w:eastAsia="仿宋_GB2312" w:cs="Times New Roman"/>
          <w:color w:val="auto"/>
          <w:sz w:val="32"/>
          <w:szCs w:val="32"/>
          <w:highlight w:val="none"/>
          <w:lang w:val="en-US" w:eastAsia="zh-CN"/>
        </w:rPr>
        <w:t>支持城镇生活垃圾分类、收集转运体系建设，生活垃圾焚烧处理设施建设和提标改造，厨余垃圾资源化利用，危险废物集中处置设施建设等项目。</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（2）重点行业清洁生产改造等。</w:t>
      </w:r>
      <w:r>
        <w:rPr>
          <w:rFonts w:hint="eastAsia" w:ascii="Times New Roman" w:hAnsi="Times New Roman" w:eastAsia="仿宋_GB2312" w:cs="Times New Roman"/>
          <w:color w:val="auto"/>
          <w:sz w:val="32"/>
          <w:szCs w:val="32"/>
          <w:highlight w:val="none"/>
          <w:lang w:val="en-US" w:eastAsia="zh-CN"/>
        </w:rPr>
        <w:t>支持电镀、皮革、有色金属、印染、制药等涉重金属行业及钢铁、水泥、焦化等行业先进清洁生产技术示范项目。</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（3）重点领域环境治理。</w:t>
      </w:r>
      <w:r>
        <w:rPr>
          <w:rFonts w:hint="eastAsia" w:ascii="Times New Roman" w:hAnsi="Times New Roman" w:eastAsia="仿宋_GB2312" w:cs="Times New Roman"/>
          <w:color w:val="auto"/>
          <w:sz w:val="32"/>
          <w:szCs w:val="32"/>
          <w:highlight w:val="none"/>
          <w:lang w:val="en-US" w:eastAsia="zh-CN"/>
        </w:rPr>
        <w:t>支持细颗粒物和臭氧协同治理、土壤重金属污染治理、新污染物治理等项目。支持国家批复的园区环境污染第三方治理项目。</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（4）水污染治理和节水。</w:t>
      </w:r>
      <w:r>
        <w:rPr>
          <w:rFonts w:hint="eastAsia" w:ascii="Times New Roman" w:hAnsi="Times New Roman" w:eastAsia="仿宋_GB2312" w:cs="Times New Roman"/>
          <w:color w:val="auto"/>
          <w:sz w:val="32"/>
          <w:szCs w:val="32"/>
          <w:highlight w:val="none"/>
          <w:lang w:val="en-US" w:eastAsia="zh-CN"/>
        </w:rPr>
        <w:t>支持城镇污水收集处理和污泥处理设施及城镇污水管网新建和改造，污水资源化利用设施建设，重点行业节水改造，矿井水等非常规水利用设施等项目。</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（5）其他。</w:t>
      </w:r>
      <w:r>
        <w:rPr>
          <w:rFonts w:hint="eastAsia" w:ascii="Times New Roman" w:hAnsi="Times New Roman" w:eastAsia="仿宋_GB2312" w:cs="Times New Roman"/>
          <w:color w:val="auto"/>
          <w:sz w:val="32"/>
          <w:szCs w:val="32"/>
          <w:highlight w:val="none"/>
          <w:lang w:val="en-US" w:eastAsia="zh-CN"/>
        </w:rPr>
        <w:t>围绕贯彻落实党中央、国务院交办重大事项需安排支持的项目建设，包括生态产品价值实现机制项目建设等。</w:t>
      </w:r>
    </w:p>
    <w:p>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楷体_GB2312" w:cs="Times New Roman"/>
          <w:b/>
          <w:bCs/>
          <w:color w:val="auto"/>
          <w:sz w:val="32"/>
          <w:szCs w:val="32"/>
          <w:highlight w:val="none"/>
          <w:lang w:eastAsia="zh-CN"/>
        </w:rPr>
      </w:pPr>
      <w:r>
        <w:rPr>
          <w:rFonts w:hint="eastAsia" w:ascii="Times New Roman" w:hAnsi="Times New Roman" w:eastAsia="楷体_GB2312" w:cs="Times New Roman"/>
          <w:b/>
          <w:bCs/>
          <w:color w:val="auto"/>
          <w:sz w:val="32"/>
          <w:szCs w:val="32"/>
          <w:highlight w:val="none"/>
          <w:lang w:val="en-US" w:eastAsia="zh-CN"/>
        </w:rPr>
        <w:t>3.</w:t>
      </w:r>
      <w:r>
        <w:rPr>
          <w:rFonts w:hint="eastAsia" w:ascii="Times New Roman" w:hAnsi="Times New Roman" w:eastAsia="楷体_GB2312" w:cs="Times New Roman"/>
          <w:b/>
          <w:bCs/>
          <w:color w:val="auto"/>
          <w:sz w:val="32"/>
          <w:szCs w:val="32"/>
          <w:highlight w:val="none"/>
          <w:lang w:eastAsia="zh-CN"/>
        </w:rPr>
        <w:t>支持比例</w:t>
      </w:r>
    </w:p>
    <w:p>
      <w:pPr>
        <w:pStyle w:val="9"/>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重点行业清洁生产改造和重点行业节水改造项目支持资金按不超过项目总投资的</w:t>
      </w:r>
      <w:r>
        <w:rPr>
          <w:rFonts w:hint="default" w:ascii="Times New Roman" w:hAnsi="Times New Roman" w:eastAsia="仿宋_GB2312" w:cs="Times New Roman"/>
          <w:color w:val="auto"/>
          <w:kern w:val="2"/>
          <w:sz w:val="32"/>
          <w:szCs w:val="32"/>
          <w:highlight w:val="none"/>
          <w:lang w:val="en-US" w:eastAsia="zh-CN" w:bidi="ar-SA"/>
        </w:rPr>
        <w:t>15%</w:t>
      </w:r>
      <w:r>
        <w:rPr>
          <w:rFonts w:hint="eastAsia" w:ascii="Times New Roman" w:hAnsi="Times New Roman" w:eastAsia="仿宋_GB2312" w:cs="Times New Roman"/>
          <w:color w:val="auto"/>
          <w:kern w:val="2"/>
          <w:sz w:val="32"/>
          <w:szCs w:val="32"/>
          <w:highlight w:val="none"/>
          <w:lang w:val="en-US" w:eastAsia="zh-CN" w:bidi="ar-SA"/>
        </w:rPr>
        <w:t>控制，危险废物集中处置设施建设项目支持资金按不超过项目总投资的</w:t>
      </w:r>
      <w:r>
        <w:rPr>
          <w:rFonts w:hint="default" w:ascii="Times New Roman" w:hAnsi="Times New Roman" w:eastAsia="仿宋_GB2312" w:cs="Times New Roman"/>
          <w:color w:val="auto"/>
          <w:kern w:val="2"/>
          <w:sz w:val="32"/>
          <w:szCs w:val="32"/>
          <w:highlight w:val="none"/>
          <w:lang w:val="en-US" w:eastAsia="zh-CN" w:bidi="ar-SA"/>
        </w:rPr>
        <w:t>20%</w:t>
      </w:r>
      <w:r>
        <w:rPr>
          <w:rFonts w:hint="eastAsia" w:ascii="Times New Roman" w:hAnsi="Times New Roman" w:eastAsia="仿宋_GB2312" w:cs="Times New Roman"/>
          <w:color w:val="auto"/>
          <w:kern w:val="2"/>
          <w:sz w:val="32"/>
          <w:szCs w:val="32"/>
          <w:highlight w:val="none"/>
          <w:lang w:val="en-US" w:eastAsia="zh-CN" w:bidi="ar-SA"/>
        </w:rPr>
        <w:t>控制，其他建设项目按不超过项目总投资的</w:t>
      </w:r>
      <w:r>
        <w:rPr>
          <w:rFonts w:hint="default" w:ascii="Times New Roman" w:hAnsi="Times New Roman" w:eastAsia="仿宋_GB2312" w:cs="Times New Roman"/>
          <w:color w:val="auto"/>
          <w:kern w:val="2"/>
          <w:sz w:val="32"/>
          <w:szCs w:val="32"/>
          <w:highlight w:val="none"/>
          <w:lang w:val="en-US" w:eastAsia="zh-CN" w:bidi="ar-SA"/>
        </w:rPr>
        <w:t>60%</w:t>
      </w:r>
      <w:r>
        <w:rPr>
          <w:rFonts w:hint="eastAsia" w:ascii="Times New Roman" w:hAnsi="Times New Roman" w:eastAsia="仿宋_GB2312" w:cs="Times New Roman"/>
          <w:color w:val="auto"/>
          <w:kern w:val="2"/>
          <w:sz w:val="32"/>
          <w:szCs w:val="32"/>
          <w:highlight w:val="none"/>
          <w:lang w:val="en-US" w:eastAsia="zh-CN" w:bidi="ar-SA"/>
        </w:rPr>
        <w:t>控制，单个项目支持资金原则上不超过</w:t>
      </w:r>
      <w:r>
        <w:rPr>
          <w:rFonts w:hint="default" w:ascii="Times New Roman" w:hAnsi="Times New Roman" w:eastAsia="仿宋_GB2312" w:cs="Times New Roman"/>
          <w:color w:val="auto"/>
          <w:kern w:val="2"/>
          <w:sz w:val="32"/>
          <w:szCs w:val="32"/>
          <w:highlight w:val="none"/>
          <w:lang w:val="en-US" w:eastAsia="zh-CN" w:bidi="ar-SA"/>
        </w:rPr>
        <w:t>1</w:t>
      </w:r>
      <w:r>
        <w:rPr>
          <w:rFonts w:hint="eastAsia" w:ascii="Times New Roman" w:hAnsi="Times New Roman" w:eastAsia="仿宋_GB2312" w:cs="Times New Roman"/>
          <w:color w:val="auto"/>
          <w:kern w:val="2"/>
          <w:sz w:val="32"/>
          <w:szCs w:val="32"/>
          <w:highlight w:val="none"/>
          <w:lang w:val="en-US" w:eastAsia="zh-CN" w:bidi="ar-SA"/>
        </w:rPr>
        <w:t>亿元。</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bookmarkStart w:id="103" w:name="_Toc29320"/>
      <w:bookmarkStart w:id="104" w:name="_Toc11259"/>
      <w:bookmarkStart w:id="105" w:name="_Toc11880"/>
      <w:bookmarkStart w:id="106" w:name="_Toc14981"/>
      <w:bookmarkStart w:id="107" w:name="_Toc25218"/>
      <w:bookmarkStart w:id="108" w:name="_Toc26906"/>
      <w:bookmarkStart w:id="109" w:name="_Toc3030"/>
      <w:bookmarkStart w:id="110" w:name="_Toc14455"/>
      <w:bookmarkStart w:id="111" w:name="_Toc23510"/>
      <w:bookmarkStart w:id="112" w:name="_Toc10656"/>
      <w:r>
        <w:rPr>
          <w:rFonts w:hint="eastAsia" w:ascii="黑体" w:hAnsi="黑体" w:eastAsia="黑体" w:cs="黑体"/>
          <w:color w:val="auto"/>
          <w:sz w:val="32"/>
          <w:szCs w:val="32"/>
          <w:highlight w:val="none"/>
          <w:lang w:eastAsia="zh-CN"/>
        </w:rPr>
        <w:t>十五、生态保护修复专项</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1.政策依据</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kern w:val="2"/>
          <w:sz w:val="32"/>
          <w:szCs w:val="32"/>
          <w:highlight w:val="none"/>
          <w:lang w:val="en-US" w:eastAsia="zh-CN" w:bidi="ar-SA"/>
        </w:rPr>
        <w:t>国家发展改革委《关于印发生态保护修复中央预算内投资专项管理办法的通知》（发改农经规〔2024〕590号）、安徽省发展改革委安徽省农业农村厅安徽省应急管理厅安徽省林业局《关于做好 2025年农业、乡村振兴、生态保护修复领域中央投资项目储备工作的通知》（皖发改农经〔2024〕477号）</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2.支持范围</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rPr>
        <w:t>（1）</w:t>
      </w:r>
      <w:r>
        <w:rPr>
          <w:rFonts w:hint="eastAsia" w:ascii="Times New Roman" w:hAnsi="Times New Roman" w:eastAsia="仿宋_GB2312" w:cs="Times New Roman"/>
          <w:b/>
          <w:bCs/>
          <w:color w:val="auto"/>
          <w:kern w:val="2"/>
          <w:sz w:val="32"/>
          <w:szCs w:val="32"/>
          <w:highlight w:val="none"/>
          <w:lang w:val="en-US" w:eastAsia="zh-CN" w:bidi="ar-SA"/>
        </w:rPr>
        <w:t>长江生物多样性保护工程项目。</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（2）长江经济带农业面源污染治理项目。</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（3）畜禽粪污资源化利用整县推进项目。</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（4）重点区域生态保护修复项目。</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（5）重点生态资源保护项目。</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（6）野生动植物保护、自然保护地建设、林业行业及执法能力建设项目。</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lang w:val="en-US" w:eastAsia="zh-CN"/>
        </w:rPr>
        <w:t>3</w:t>
      </w:r>
      <w:r>
        <w:rPr>
          <w:rFonts w:hint="default"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申报要求</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rPr>
        <w:t>（1）</w:t>
      </w:r>
      <w:r>
        <w:rPr>
          <w:rFonts w:hint="eastAsia" w:ascii="Times New Roman" w:hAnsi="Times New Roman" w:eastAsia="仿宋_GB2312" w:cs="Times New Roman"/>
          <w:b/>
          <w:bCs/>
          <w:color w:val="auto"/>
          <w:kern w:val="2"/>
          <w:sz w:val="32"/>
          <w:szCs w:val="32"/>
          <w:highlight w:val="none"/>
          <w:lang w:val="en-US" w:eastAsia="zh-CN" w:bidi="ar-SA"/>
        </w:rPr>
        <w:t>长江生物多样性保护工程项目。</w:t>
      </w:r>
      <w:r>
        <w:rPr>
          <w:rFonts w:hint="eastAsia" w:ascii="Times New Roman" w:hAnsi="Times New Roman" w:eastAsia="仿宋_GB2312" w:cs="Times New Roman"/>
          <w:color w:val="auto"/>
          <w:kern w:val="2"/>
          <w:sz w:val="32"/>
          <w:szCs w:val="32"/>
          <w:highlight w:val="none"/>
          <w:lang w:val="en-US" w:eastAsia="zh-CN" w:bidi="ar-SA"/>
        </w:rPr>
        <w:t>已纳入《长江生物多样性保护实施方案（2021—2025年）》，项目单位要编制可行性研究报告。</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（2）长江经济带农业面源污染治理项目。</w:t>
      </w:r>
      <w:r>
        <w:rPr>
          <w:rFonts w:hint="eastAsia" w:ascii="Times New Roman" w:hAnsi="Times New Roman" w:eastAsia="仿宋_GB2312" w:cs="Times New Roman"/>
          <w:color w:val="auto"/>
          <w:kern w:val="2"/>
          <w:sz w:val="32"/>
          <w:szCs w:val="32"/>
          <w:highlight w:val="none"/>
          <w:lang w:val="en-US" w:eastAsia="zh-CN" w:bidi="ar-SA"/>
        </w:rPr>
        <w:t>项目实施范围聚焦长江流域，申报项目（法人） 单位为县级人民政府，项目单位要编制实施方案。已实施过长江经济带农业面源污染治理项目的县，以及已开展过畜禽粪污资源化利用整县推进项目的县不纳入储备范围，且不得同时报畜禽粪污资源化利用整县推进项目。</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（3）畜禽粪污资源化利用整县推进项目。</w:t>
      </w:r>
      <w:r>
        <w:rPr>
          <w:rFonts w:hint="eastAsia" w:ascii="Times New Roman" w:hAnsi="Times New Roman" w:eastAsia="仿宋_GB2312" w:cs="Times New Roman"/>
          <w:color w:val="auto"/>
          <w:kern w:val="2"/>
          <w:sz w:val="32"/>
          <w:szCs w:val="32"/>
          <w:highlight w:val="none"/>
          <w:lang w:val="en-US" w:eastAsia="zh-CN" w:bidi="ar-SA"/>
        </w:rPr>
        <w:t>国家安排我省名额已用完，其他省份出现申报空缺名额后，视情况递补。项目实施限定在生猪存栏量≥10万头或存栏猪当量≥20万头、符合条件的县（市、区），申报项目（法人）单位为县级人民政府，项目单位要编制实施方案。已实施过中央预算内投资或中央财政畜禽粪污资源化利用整县推进项目和重点流域农业面源污染综合治理项目的县不纳入储备范围，且不得同时申报长江经济带农业面源污染治理项目。</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（4）重点区域生态保护修复项目。</w:t>
      </w:r>
      <w:r>
        <w:rPr>
          <w:rFonts w:hint="eastAsia" w:ascii="Times New Roman" w:hAnsi="Times New Roman" w:eastAsia="仿宋_GB2312" w:cs="Times New Roman"/>
          <w:color w:val="auto"/>
          <w:kern w:val="2"/>
          <w:sz w:val="32"/>
          <w:szCs w:val="32"/>
          <w:highlight w:val="none"/>
          <w:lang w:val="en-US" w:eastAsia="zh-CN" w:bidi="ar-SA"/>
        </w:rPr>
        <w:t>列入《全国重要生态系统保护和修复重大工程总体规划（2021—2035）》及其专项建设规划，符合支持方向的重点区域生态保护修复项目，项目单位要编制可行性研究报告。</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（5）重点生态资源保护项目。</w:t>
      </w:r>
      <w:r>
        <w:rPr>
          <w:rFonts w:hint="eastAsia" w:ascii="Times New Roman" w:hAnsi="Times New Roman" w:eastAsia="仿宋_GB2312" w:cs="Times New Roman"/>
          <w:color w:val="auto"/>
          <w:kern w:val="2"/>
          <w:sz w:val="32"/>
          <w:szCs w:val="32"/>
          <w:highlight w:val="none"/>
          <w:lang w:val="en-US" w:eastAsia="zh-CN" w:bidi="ar-SA"/>
        </w:rPr>
        <w:t>列入《生态保护和修复支撑体系重大工程建设规划（2021—2035 年）以及其他相关国家级专项规划中部署的项目，项目单位要编制可行性研究报告。</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（6）野生动植物保护、自然保护地建设、林业行业及执法能力建设项目。</w:t>
      </w:r>
      <w:r>
        <w:rPr>
          <w:rFonts w:hint="eastAsia" w:ascii="Times New Roman" w:hAnsi="Times New Roman" w:eastAsia="仿宋_GB2312" w:cs="Times New Roman"/>
          <w:color w:val="auto"/>
          <w:kern w:val="2"/>
          <w:sz w:val="32"/>
          <w:szCs w:val="32"/>
          <w:highlight w:val="none"/>
          <w:lang w:val="en-US" w:eastAsia="zh-CN" w:bidi="ar-SA"/>
        </w:rPr>
        <w:t>列入《国家公园等自然保护地建设及野生动植 物保护重大工程建设规划（2021—2035年）》以及其他相关国家级专项规划中部署的项目，项目单位要编制可行性研究报告。</w:t>
      </w:r>
    </w:p>
    <w:p>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楷体_GB2312" w:cs="Times New Roman"/>
          <w:b/>
          <w:bCs/>
          <w:color w:val="auto"/>
          <w:sz w:val="32"/>
          <w:szCs w:val="32"/>
          <w:highlight w:val="none"/>
          <w:lang w:eastAsia="zh-CN"/>
        </w:rPr>
      </w:pPr>
      <w:r>
        <w:rPr>
          <w:rFonts w:hint="eastAsia" w:ascii="Times New Roman" w:hAnsi="Times New Roman" w:eastAsia="楷体_GB2312" w:cs="Times New Roman"/>
          <w:b/>
          <w:bCs/>
          <w:color w:val="auto"/>
          <w:sz w:val="32"/>
          <w:szCs w:val="32"/>
          <w:highlight w:val="none"/>
          <w:lang w:val="en-US" w:eastAsia="zh-CN"/>
        </w:rPr>
        <w:t>4.</w:t>
      </w:r>
      <w:r>
        <w:rPr>
          <w:rFonts w:hint="eastAsia" w:ascii="Times New Roman" w:hAnsi="Times New Roman" w:eastAsia="楷体_GB2312" w:cs="Times New Roman"/>
          <w:b/>
          <w:bCs/>
          <w:color w:val="auto"/>
          <w:sz w:val="32"/>
          <w:szCs w:val="32"/>
          <w:highlight w:val="none"/>
          <w:lang w:eastAsia="zh-CN"/>
        </w:rPr>
        <w:t>支持比例</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（1）长江生物多样性保护工程项目，</w:t>
      </w:r>
      <w:r>
        <w:rPr>
          <w:rFonts w:hint="eastAsia" w:ascii="Times New Roman" w:hAnsi="Times New Roman" w:eastAsia="仿宋_GB2312" w:cs="Times New Roman"/>
          <w:color w:val="auto"/>
          <w:kern w:val="2"/>
          <w:sz w:val="32"/>
          <w:szCs w:val="32"/>
          <w:highlight w:val="none"/>
          <w:lang w:val="en-US" w:eastAsia="zh-CN" w:bidi="ar-SA"/>
        </w:rPr>
        <w:t>支持比例不超过总投资的50%，且中央投资规模不低于200万元。</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（2）长江经济带农业面源污染治理项目，</w:t>
      </w:r>
      <w:r>
        <w:rPr>
          <w:rFonts w:hint="eastAsia" w:ascii="Times New Roman" w:hAnsi="Times New Roman" w:eastAsia="仿宋_GB2312" w:cs="Times New Roman"/>
          <w:color w:val="auto"/>
          <w:kern w:val="2"/>
          <w:sz w:val="32"/>
          <w:szCs w:val="32"/>
          <w:highlight w:val="none"/>
          <w:lang w:val="en-US" w:eastAsia="zh-CN" w:bidi="ar-SA"/>
        </w:rPr>
        <w:t>不超过5000万元，比例不超过总投资的50%。</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（3）畜禽粪污资源化利用整县推进项目，</w:t>
      </w:r>
      <w:r>
        <w:rPr>
          <w:rFonts w:hint="eastAsia" w:ascii="Times New Roman" w:hAnsi="Times New Roman" w:eastAsia="仿宋_GB2312" w:cs="Times New Roman"/>
          <w:color w:val="auto"/>
          <w:kern w:val="2"/>
          <w:sz w:val="32"/>
          <w:szCs w:val="32"/>
          <w:highlight w:val="none"/>
          <w:lang w:val="en-US" w:eastAsia="zh-CN" w:bidi="ar-SA"/>
        </w:rPr>
        <w:t>单个项目不超过总投资的50%，每个县不超过3000万元，中央投资分两年安排。</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（4）重点区域生态保护修复项目，</w:t>
      </w:r>
      <w:r>
        <w:rPr>
          <w:rFonts w:hint="eastAsia" w:ascii="Times New Roman" w:hAnsi="Times New Roman" w:eastAsia="仿宋_GB2312" w:cs="Times New Roman"/>
          <w:color w:val="auto"/>
          <w:kern w:val="2"/>
          <w:sz w:val="32"/>
          <w:szCs w:val="32"/>
          <w:highlight w:val="none"/>
          <w:lang w:val="en-US" w:eastAsia="zh-CN" w:bidi="ar-SA"/>
        </w:rPr>
        <w:t>支持比例70%；湿地保护修复项目，按照80%执行。</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（5）重点生态资源保护项目，</w:t>
      </w:r>
      <w:r>
        <w:rPr>
          <w:rFonts w:hint="eastAsia" w:ascii="Times New Roman" w:hAnsi="Times New Roman" w:eastAsia="仿宋_GB2312" w:cs="Times New Roman"/>
          <w:color w:val="auto"/>
          <w:kern w:val="2"/>
          <w:sz w:val="32"/>
          <w:szCs w:val="32"/>
          <w:highlight w:val="none"/>
          <w:lang w:val="en-US" w:eastAsia="zh-CN" w:bidi="ar-SA"/>
        </w:rPr>
        <w:t>森林草原防灭火项目支持比例为70%，其中森林防火应急道路建设最高不超过新建50万元/公里、改造30万元/公里；国家级林草种质资源保存库项目支持比例为80%，乡土树种保供繁育基地、采种良种基地项目支持比例为40%；管护用房建设项目，定额支持标准为新建或重建改造35万元/个、加固改造或移动管护用房25万元/个、功能完善10万元/个。</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color w:val="auto"/>
          <w:sz w:val="32"/>
          <w:highlight w:val="none"/>
        </w:rPr>
      </w:pPr>
      <w:r>
        <w:rPr>
          <w:rFonts w:hint="eastAsia" w:ascii="Times New Roman" w:hAnsi="Times New Roman" w:eastAsia="仿宋_GB2312" w:cs="Times New Roman"/>
          <w:b/>
          <w:bCs/>
          <w:color w:val="auto"/>
          <w:kern w:val="2"/>
          <w:sz w:val="32"/>
          <w:szCs w:val="32"/>
          <w:highlight w:val="none"/>
          <w:lang w:val="en-US" w:eastAsia="zh-CN" w:bidi="ar-SA"/>
        </w:rPr>
        <w:t>（6）野生动植物保护及自然保护地建设项目，</w:t>
      </w:r>
      <w:r>
        <w:rPr>
          <w:rFonts w:hint="eastAsia" w:ascii="Times New Roman" w:hAnsi="Times New Roman" w:eastAsia="仿宋_GB2312" w:cs="Times New Roman"/>
          <w:color w:val="auto"/>
          <w:kern w:val="2"/>
          <w:sz w:val="32"/>
          <w:szCs w:val="32"/>
          <w:highlight w:val="none"/>
          <w:lang w:val="en-US" w:eastAsia="zh-CN" w:bidi="ar-SA"/>
        </w:rPr>
        <w:t>支持比例为80%；林业科技创新能力项目，支持比例为80%；林业执法监管能力建设项目，定额支持标准为一级站40万元/个、二级站30万元/个。</w:t>
      </w:r>
    </w:p>
    <w:bookmarkEnd w:id="103"/>
    <w:bookmarkEnd w:id="104"/>
    <w:bookmarkEnd w:id="105"/>
    <w:bookmarkEnd w:id="106"/>
    <w:bookmarkEnd w:id="107"/>
    <w:bookmarkEnd w:id="108"/>
    <w:bookmarkEnd w:id="109"/>
    <w:bookmarkEnd w:id="110"/>
    <w:bookmarkEnd w:id="111"/>
    <w:bookmarkEnd w:id="112"/>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十六、重点流域水环境综合治理专项</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1.政策依据</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国家发展改革委《关于印发</w:t>
      </w:r>
      <w:r>
        <w:rPr>
          <w:rFonts w:hint="eastAsia" w:ascii="Times New Roman" w:hAnsi="Times New Roman" w:eastAsia="仿宋_GB2312" w:cs="Times New Roman"/>
          <w:color w:val="auto"/>
          <w:sz w:val="32"/>
          <w:szCs w:val="32"/>
          <w:highlight w:val="none"/>
          <w:lang w:val="en-US" w:eastAsia="zh-CN"/>
        </w:rPr>
        <w:t>&lt;</w:t>
      </w:r>
      <w:r>
        <w:rPr>
          <w:rFonts w:hint="default" w:ascii="Times New Roman" w:hAnsi="Times New Roman" w:eastAsia="仿宋_GB2312" w:cs="Times New Roman"/>
          <w:color w:val="auto"/>
          <w:sz w:val="32"/>
          <w:szCs w:val="32"/>
          <w:highlight w:val="none"/>
        </w:rPr>
        <w:t>重点流域水环境综合治理中央预算内投资专项管理办法</w:t>
      </w:r>
      <w:r>
        <w:rPr>
          <w:rFonts w:hint="eastAsia" w:ascii="Times New Roman" w:hAnsi="Times New Roman" w:eastAsia="仿宋_GB2312" w:cs="Times New Roman"/>
          <w:color w:val="auto"/>
          <w:sz w:val="32"/>
          <w:szCs w:val="32"/>
          <w:highlight w:val="none"/>
          <w:lang w:val="en-US" w:eastAsia="zh-CN"/>
        </w:rPr>
        <w:t>&gt;</w:t>
      </w:r>
      <w:r>
        <w:rPr>
          <w:rFonts w:hint="default" w:ascii="Times New Roman" w:hAnsi="Times New Roman" w:eastAsia="仿宋_GB2312" w:cs="Times New Roman"/>
          <w:color w:val="auto"/>
          <w:sz w:val="32"/>
          <w:szCs w:val="32"/>
          <w:highlight w:val="none"/>
        </w:rPr>
        <w:t>的通知》</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发改区域规〔2024〕352号</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2.支持范围</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本专项投资重点支持与流域水环境质量改善直接相关的综合治理类项目，主要包括：江河水环境综合治理、湖泊水库水环境综合治理、集中式饮用水水源地保护和源头治理、内源污染治理，以及推进水环境保护治理的其他工程</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自“十四五”规划实施以来,未再单独支持独立的新开工污水和垃圾处理项目。如有污水和垃圾处理项目</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可包含在河道水环境综合整治等其他类型项目中合并申报。为实现系统治理</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建设内容一般至少包含河道</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湖库</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截污工程、河道</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湖库</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沿岸人工湿地建设工程、污染底泥清除工程、生态护坡工程等项以上具体内容。</w:t>
      </w:r>
      <w:r>
        <w:rPr>
          <w:rFonts w:hint="default" w:ascii="Times New Roman" w:hAnsi="Times New Roman" w:eastAsia="仿宋_GB2312" w:cs="Times New Roman"/>
          <w:color w:val="auto"/>
          <w:sz w:val="32"/>
          <w:szCs w:val="32"/>
          <w:highlight w:val="none"/>
        </w:rPr>
        <w:t>其中，污染底泥清理工程主要是对污染较为严重的底泥</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总氮平均浓度在1000mg/kg以上和总磷平均浓度在420mg/kg以上</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进行清理</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申报资料需要提供相关检测报告等证明文件</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工程实施的主要目的是改善河流和湖库水环境质量</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不是改善河道和湖库的行洪、通航条件。</w:t>
      </w:r>
    </w:p>
    <w:p>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楷体_GB2312" w:cs="Times New Roman"/>
          <w:b/>
          <w:bCs/>
          <w:color w:val="auto"/>
          <w:sz w:val="32"/>
          <w:szCs w:val="32"/>
          <w:highlight w:val="none"/>
          <w:lang w:eastAsia="zh-CN"/>
        </w:rPr>
      </w:pPr>
      <w:r>
        <w:rPr>
          <w:rFonts w:hint="eastAsia" w:ascii="Times New Roman" w:hAnsi="Times New Roman" w:eastAsia="楷体_GB2312" w:cs="Times New Roman"/>
          <w:b/>
          <w:bCs/>
          <w:color w:val="auto"/>
          <w:sz w:val="32"/>
          <w:szCs w:val="32"/>
          <w:highlight w:val="none"/>
          <w:lang w:val="en-US" w:eastAsia="zh-CN"/>
        </w:rPr>
        <w:t>3.</w:t>
      </w:r>
      <w:r>
        <w:rPr>
          <w:rFonts w:hint="eastAsia" w:ascii="Times New Roman" w:hAnsi="Times New Roman" w:eastAsia="楷体_GB2312" w:cs="Times New Roman"/>
          <w:b/>
          <w:bCs/>
          <w:color w:val="auto"/>
          <w:sz w:val="32"/>
          <w:szCs w:val="32"/>
          <w:highlight w:val="none"/>
          <w:lang w:eastAsia="zh-CN"/>
        </w:rPr>
        <w:t>支持比例</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按照不超过核定总投资（不含项目征地拆迁等费用）的60%予以支持。</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p>
    <w:bookmarkEnd w:id="12"/>
    <w:bookmarkEnd w:id="13"/>
    <w:bookmarkEnd w:id="14"/>
    <w:bookmarkEnd w:id="15"/>
    <w:bookmarkEnd w:id="16"/>
    <w:bookmarkEnd w:id="17"/>
    <w:bookmarkEnd w:id="18"/>
    <w:bookmarkEnd w:id="19"/>
    <w:bookmarkEnd w:id="20"/>
    <w:bookmarkEnd w:id="21"/>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bookmarkStart w:id="113" w:name="_Toc4010"/>
      <w:bookmarkStart w:id="114" w:name="_Toc30804"/>
      <w:bookmarkStart w:id="115" w:name="_Toc20661"/>
      <w:bookmarkStart w:id="116" w:name="_Toc9803"/>
      <w:bookmarkStart w:id="117" w:name="_Toc16881"/>
      <w:bookmarkStart w:id="118" w:name="_Toc23240"/>
      <w:bookmarkStart w:id="119" w:name="_Toc26282"/>
      <w:bookmarkStart w:id="120" w:name="_Toc19828"/>
      <w:bookmarkStart w:id="121" w:name="_Toc11477"/>
      <w:bookmarkStart w:id="122" w:name="_Toc28123"/>
      <w:bookmarkStart w:id="123" w:name="_Toc15408"/>
      <w:r>
        <w:rPr>
          <w:rFonts w:hint="eastAsia" w:ascii="黑体" w:hAnsi="黑体" w:eastAsia="黑体" w:cs="黑体"/>
          <w:color w:val="auto"/>
          <w:sz w:val="32"/>
          <w:szCs w:val="32"/>
          <w:highlight w:val="none"/>
          <w:lang w:val="en-US" w:eastAsia="zh-CN"/>
        </w:rPr>
        <w:t>十七、</w:t>
      </w:r>
      <w:r>
        <w:rPr>
          <w:rFonts w:hint="default" w:ascii="Times New Roman" w:hAnsi="Times New Roman" w:eastAsia="黑体" w:cs="Times New Roman"/>
          <w:color w:val="auto"/>
          <w:sz w:val="32"/>
          <w:szCs w:val="32"/>
          <w:highlight w:val="none"/>
          <w:lang w:val="en-US" w:eastAsia="zh-CN"/>
        </w:rPr>
        <w:t>教育强国基础设施建设工程专项</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1.政策依据</w:t>
      </w:r>
    </w:p>
    <w:p>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rPr>
        <w:t>国家发展改革委《关于印发</w:t>
      </w:r>
      <w:r>
        <w:rPr>
          <w:rFonts w:hint="eastAsia" w:ascii="Times New Roman" w:hAnsi="Times New Roman" w:eastAsia="仿宋_GB2312" w:cs="Times New Roman"/>
          <w:color w:val="auto"/>
          <w:sz w:val="32"/>
          <w:highlight w:val="none"/>
          <w:lang w:val="en-US" w:eastAsia="zh-CN"/>
        </w:rPr>
        <w:t>&lt;</w:t>
      </w:r>
      <w:r>
        <w:rPr>
          <w:rFonts w:hint="default" w:ascii="Times New Roman" w:hAnsi="Times New Roman" w:eastAsia="仿宋_GB2312" w:cs="Times New Roman"/>
          <w:color w:val="auto"/>
          <w:sz w:val="32"/>
          <w:highlight w:val="none"/>
        </w:rPr>
        <w:t>“十四五”时期教育强国推进工程实施方案</w:t>
      </w:r>
      <w:r>
        <w:rPr>
          <w:rFonts w:hint="eastAsia" w:ascii="Times New Roman" w:hAnsi="Times New Roman" w:eastAsia="仿宋_GB2312" w:cs="Times New Roman"/>
          <w:color w:val="auto"/>
          <w:sz w:val="32"/>
          <w:highlight w:val="none"/>
          <w:lang w:val="en-US" w:eastAsia="zh-CN"/>
        </w:rPr>
        <w:t>&gt;</w:t>
      </w:r>
      <w:r>
        <w:rPr>
          <w:rFonts w:hint="default" w:ascii="Times New Roman" w:hAnsi="Times New Roman" w:eastAsia="仿宋_GB2312" w:cs="Times New Roman"/>
          <w:color w:val="auto"/>
          <w:sz w:val="32"/>
          <w:highlight w:val="none"/>
        </w:rPr>
        <w:t>的通知》</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发改社会〔2021〕671号</w:t>
      </w:r>
      <w:r>
        <w:rPr>
          <w:rFonts w:hint="default" w:ascii="Times New Roman" w:hAnsi="Times New Roman" w:eastAsia="仿宋_GB2312" w:cs="Times New Roman"/>
          <w:color w:val="auto"/>
          <w:sz w:val="32"/>
          <w:highlight w:val="none"/>
          <w:lang w:eastAsia="zh-CN"/>
        </w:rPr>
        <w:t>）；国家发展改革委</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eastAsia="zh-CN"/>
        </w:rPr>
        <w:t>关于修订印发社会领域中央预算内投资相关专项管理办法的通知</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eastAsia="zh-CN"/>
        </w:rPr>
        <w:t>（发改社会规〔2024〕284号）。</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lang w:val="en-US" w:eastAsia="zh-CN"/>
        </w:rPr>
        <w:t>2.支持范围</w:t>
      </w:r>
    </w:p>
    <w:p>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b w:val="0"/>
          <w:bCs w:val="0"/>
          <w:color w:val="auto"/>
          <w:sz w:val="32"/>
          <w:highlight w:val="none"/>
        </w:rPr>
      </w:pPr>
      <w:r>
        <w:rPr>
          <w:rFonts w:hint="default" w:ascii="Times New Roman" w:hAnsi="Times New Roman" w:eastAsia="仿宋_GB2312" w:cs="Times New Roman"/>
          <w:b/>
          <w:bCs/>
          <w:color w:val="auto"/>
          <w:sz w:val="32"/>
          <w:highlight w:val="none"/>
        </w:rPr>
        <w:t>（</w:t>
      </w:r>
      <w:r>
        <w:rPr>
          <w:rFonts w:hint="default" w:ascii="Times New Roman" w:hAnsi="Times New Roman" w:eastAsia="仿宋_GB2312" w:cs="Times New Roman"/>
          <w:b/>
          <w:bCs/>
          <w:color w:val="auto"/>
          <w:sz w:val="32"/>
          <w:highlight w:val="none"/>
          <w:lang w:val="en-US" w:eastAsia="zh-CN"/>
        </w:rPr>
        <w:t>1</w:t>
      </w:r>
      <w:r>
        <w:rPr>
          <w:rFonts w:hint="default" w:ascii="Times New Roman" w:hAnsi="Times New Roman" w:eastAsia="仿宋_GB2312" w:cs="Times New Roman"/>
          <w:b/>
          <w:bCs/>
          <w:color w:val="auto"/>
          <w:sz w:val="32"/>
          <w:highlight w:val="none"/>
        </w:rPr>
        <w:t>）基础教育</w:t>
      </w:r>
      <w:r>
        <w:rPr>
          <w:rFonts w:hint="default" w:ascii="Times New Roman" w:hAnsi="Times New Roman" w:eastAsia="仿宋_GB2312" w:cs="Times New Roman"/>
          <w:b/>
          <w:bCs/>
          <w:color w:val="auto"/>
          <w:sz w:val="32"/>
          <w:highlight w:val="none"/>
          <w:lang w:eastAsia="zh-CN"/>
        </w:rPr>
        <w:t>。</w:t>
      </w:r>
      <w:r>
        <w:rPr>
          <w:rFonts w:hint="default" w:ascii="Times New Roman" w:hAnsi="Times New Roman" w:eastAsia="仿宋_GB2312" w:cs="Times New Roman"/>
          <w:b w:val="0"/>
          <w:bCs w:val="0"/>
          <w:color w:val="auto"/>
          <w:sz w:val="32"/>
          <w:highlight w:val="none"/>
          <w:lang w:eastAsia="zh-CN"/>
        </w:rPr>
        <w:t>支持教育基础薄弱县、人口流入地、产粮大县等的普通高中建设，支持原国家级贫困县、产粮大县等地区的义务教育学校和公办幼儿园建设</w:t>
      </w:r>
      <w:r>
        <w:rPr>
          <w:rFonts w:hint="default" w:ascii="Times New Roman" w:hAnsi="Times New Roman" w:eastAsia="仿宋_GB2312" w:cs="Times New Roman"/>
          <w:b w:val="0"/>
          <w:bCs w:val="0"/>
          <w:color w:val="auto"/>
          <w:sz w:val="32"/>
          <w:highlight w:val="none"/>
        </w:rPr>
        <w:t>。</w:t>
      </w:r>
    </w:p>
    <w:p>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b w:val="0"/>
          <w:bCs w:val="0"/>
          <w:color w:val="auto"/>
          <w:sz w:val="32"/>
          <w:highlight w:val="none"/>
          <w:lang w:eastAsia="zh-CN"/>
        </w:rPr>
      </w:pPr>
      <w:r>
        <w:rPr>
          <w:rFonts w:hint="default" w:ascii="Times New Roman" w:hAnsi="Times New Roman" w:eastAsia="仿宋_GB2312" w:cs="Times New Roman"/>
          <w:b/>
          <w:bCs/>
          <w:color w:val="auto"/>
          <w:sz w:val="32"/>
          <w:highlight w:val="none"/>
        </w:rPr>
        <w:t>（</w:t>
      </w:r>
      <w:r>
        <w:rPr>
          <w:rFonts w:hint="default" w:ascii="Times New Roman" w:hAnsi="Times New Roman" w:eastAsia="仿宋_GB2312" w:cs="Times New Roman"/>
          <w:b/>
          <w:bCs/>
          <w:color w:val="auto"/>
          <w:sz w:val="32"/>
          <w:highlight w:val="none"/>
          <w:lang w:val="en-US" w:eastAsia="zh-CN"/>
        </w:rPr>
        <w:t>2</w:t>
      </w:r>
      <w:r>
        <w:rPr>
          <w:rFonts w:hint="default" w:ascii="Times New Roman" w:hAnsi="Times New Roman" w:eastAsia="仿宋_GB2312" w:cs="Times New Roman"/>
          <w:b/>
          <w:bCs/>
          <w:color w:val="auto"/>
          <w:sz w:val="32"/>
          <w:highlight w:val="none"/>
        </w:rPr>
        <w:t>）职业教育产教融合</w:t>
      </w:r>
      <w:r>
        <w:rPr>
          <w:rFonts w:hint="default" w:ascii="Times New Roman" w:hAnsi="Times New Roman" w:eastAsia="仿宋_GB2312" w:cs="Times New Roman"/>
          <w:b/>
          <w:bCs/>
          <w:color w:val="auto"/>
          <w:sz w:val="32"/>
          <w:highlight w:val="none"/>
          <w:lang w:eastAsia="zh-CN"/>
        </w:rPr>
        <w:t>。</w:t>
      </w:r>
      <w:r>
        <w:rPr>
          <w:rFonts w:hint="default" w:ascii="Times New Roman" w:hAnsi="Times New Roman" w:eastAsia="仿宋_GB2312" w:cs="Times New Roman"/>
          <w:b w:val="0"/>
          <w:bCs w:val="0"/>
          <w:color w:val="auto"/>
          <w:sz w:val="32"/>
          <w:highlight w:val="none"/>
        </w:rPr>
        <w:t>支持中高等职业院校、应用型本科高校建设一批高水平、专业化产教融合实训基地，深化职业教育产教融合</w:t>
      </w:r>
      <w:r>
        <w:rPr>
          <w:rFonts w:hint="default" w:ascii="Times New Roman" w:hAnsi="Times New Roman" w:eastAsia="仿宋_GB2312" w:cs="Times New Roman"/>
          <w:b w:val="0"/>
          <w:bCs w:val="0"/>
          <w:color w:val="auto"/>
          <w:sz w:val="32"/>
          <w:highlight w:val="none"/>
          <w:lang w:eastAsia="zh-CN"/>
        </w:rPr>
        <w:t>。</w:t>
      </w:r>
    </w:p>
    <w:p>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b w:val="0"/>
          <w:bCs w:val="0"/>
          <w:color w:val="auto"/>
          <w:sz w:val="32"/>
          <w:highlight w:val="none"/>
          <w:lang w:eastAsia="zh-CN"/>
        </w:rPr>
      </w:pPr>
      <w:r>
        <w:rPr>
          <w:rFonts w:hint="default" w:ascii="Times New Roman" w:hAnsi="Times New Roman" w:eastAsia="仿宋_GB2312" w:cs="Times New Roman"/>
          <w:b/>
          <w:bCs/>
          <w:color w:val="auto"/>
          <w:sz w:val="32"/>
          <w:highlight w:val="none"/>
        </w:rPr>
        <w:t>（</w:t>
      </w:r>
      <w:r>
        <w:rPr>
          <w:rFonts w:hint="default" w:ascii="Times New Roman" w:hAnsi="Times New Roman" w:eastAsia="仿宋_GB2312" w:cs="Times New Roman"/>
          <w:b/>
          <w:bCs/>
          <w:color w:val="auto"/>
          <w:sz w:val="32"/>
          <w:highlight w:val="none"/>
          <w:lang w:val="en-US" w:eastAsia="zh-CN"/>
        </w:rPr>
        <w:t>3</w:t>
      </w:r>
      <w:r>
        <w:rPr>
          <w:rFonts w:hint="default" w:ascii="Times New Roman" w:hAnsi="Times New Roman" w:eastAsia="仿宋_GB2312" w:cs="Times New Roman"/>
          <w:b/>
          <w:bCs/>
          <w:color w:val="auto"/>
          <w:sz w:val="32"/>
          <w:highlight w:val="none"/>
        </w:rPr>
        <w:t>）高等教育内涵发展</w:t>
      </w:r>
      <w:r>
        <w:rPr>
          <w:rFonts w:hint="default" w:ascii="Times New Roman" w:hAnsi="Times New Roman" w:eastAsia="仿宋_GB2312" w:cs="Times New Roman"/>
          <w:b/>
          <w:bCs/>
          <w:color w:val="auto"/>
          <w:sz w:val="32"/>
          <w:highlight w:val="none"/>
          <w:lang w:eastAsia="zh-CN"/>
        </w:rPr>
        <w:t>。</w:t>
      </w:r>
      <w:r>
        <w:rPr>
          <w:rFonts w:hint="default" w:ascii="Times New Roman" w:hAnsi="Times New Roman" w:eastAsia="仿宋_GB2312" w:cs="Times New Roman"/>
          <w:b w:val="0"/>
          <w:bCs w:val="0"/>
          <w:color w:val="auto"/>
          <w:sz w:val="32"/>
          <w:highlight w:val="none"/>
          <w:lang w:eastAsia="zh-CN"/>
        </w:rPr>
        <w:t>支持中央高校“双一流”建设、国家产教融合创新平台和国家基础研究创新中心建设、在京高校疏解及南疆高校建设、中西部高校（含部省合建高校）建设、优质医学和师范院校建设、本科高校学生宿舍建设。支持“双一流”高校新校区建设，支持高校重大科研基础设施建设和设备购置、中外合作办学。</w:t>
      </w:r>
    </w:p>
    <w:p>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楷体_GB2312" w:cs="Times New Roman"/>
          <w:b/>
          <w:bCs/>
          <w:color w:val="auto"/>
          <w:sz w:val="32"/>
          <w:szCs w:val="32"/>
          <w:highlight w:val="none"/>
          <w:lang w:eastAsia="zh-CN"/>
        </w:rPr>
      </w:pPr>
      <w:r>
        <w:rPr>
          <w:rFonts w:hint="eastAsia" w:ascii="Times New Roman" w:hAnsi="Times New Roman" w:eastAsia="楷体_GB2312" w:cs="Times New Roman"/>
          <w:b/>
          <w:bCs/>
          <w:color w:val="auto"/>
          <w:sz w:val="32"/>
          <w:szCs w:val="32"/>
          <w:highlight w:val="none"/>
          <w:lang w:val="en-US" w:eastAsia="zh-CN"/>
        </w:rPr>
        <w:t>3.</w:t>
      </w:r>
      <w:r>
        <w:rPr>
          <w:rFonts w:hint="eastAsia" w:ascii="Times New Roman" w:hAnsi="Times New Roman" w:eastAsia="楷体_GB2312" w:cs="Times New Roman"/>
          <w:b/>
          <w:bCs/>
          <w:color w:val="auto"/>
          <w:sz w:val="32"/>
          <w:szCs w:val="32"/>
          <w:highlight w:val="none"/>
          <w:lang w:eastAsia="zh-CN"/>
        </w:rPr>
        <w:t>支持比例</w:t>
      </w:r>
    </w:p>
    <w:p>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仿宋_GB2312" w:cs="Times New Roman"/>
          <w:b w:val="0"/>
          <w:bCs w:val="0"/>
          <w:color w:val="auto"/>
          <w:sz w:val="32"/>
          <w:highlight w:val="none"/>
          <w:lang w:eastAsia="zh-CN"/>
        </w:rPr>
        <w:t>原则上按照不超过总投资（不含土地费用、市政费用，仅为工程建设投资，下同）60%的比例进行支持。对于投资限额规定如下：</w:t>
      </w:r>
    </w:p>
    <w:p>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b w:val="0"/>
          <w:bCs w:val="0"/>
          <w:color w:val="auto"/>
          <w:sz w:val="32"/>
          <w:highlight w:val="none"/>
          <w:lang w:val="en-US" w:eastAsia="zh-CN"/>
        </w:rPr>
      </w:pPr>
      <w:r>
        <w:rPr>
          <w:rFonts w:hint="eastAsia" w:ascii="Times New Roman" w:hAnsi="Times New Roman" w:eastAsia="仿宋_GB2312" w:cs="Times New Roman"/>
          <w:b w:val="0"/>
          <w:bCs w:val="0"/>
          <w:color w:val="auto"/>
          <w:sz w:val="32"/>
          <w:highlight w:val="none"/>
          <w:lang w:eastAsia="zh-CN"/>
        </w:rPr>
        <w:t>（</w:t>
      </w:r>
      <w:r>
        <w:rPr>
          <w:rFonts w:hint="eastAsia" w:ascii="Times New Roman" w:hAnsi="Times New Roman" w:eastAsia="仿宋_GB2312" w:cs="Times New Roman"/>
          <w:b w:val="0"/>
          <w:bCs w:val="0"/>
          <w:color w:val="auto"/>
          <w:sz w:val="32"/>
          <w:highlight w:val="none"/>
          <w:lang w:val="en-US" w:eastAsia="zh-CN"/>
        </w:rPr>
        <w:t>1</w:t>
      </w:r>
      <w:r>
        <w:rPr>
          <w:rFonts w:hint="eastAsia"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rPr>
        <w:t>普通高中项目</w:t>
      </w:r>
      <w:r>
        <w:rPr>
          <w:rFonts w:hint="eastAsia"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rPr>
        <w:t>每所高中支持额度不超过5000万元</w:t>
      </w:r>
      <w:r>
        <w:rPr>
          <w:rFonts w:hint="eastAsia" w:ascii="Times New Roman" w:hAnsi="Times New Roman" w:eastAsia="仿宋_GB2312" w:cs="Times New Roman"/>
          <w:b w:val="0"/>
          <w:bCs w:val="0"/>
          <w:color w:val="auto"/>
          <w:sz w:val="32"/>
          <w:highlight w:val="none"/>
          <w:lang w:val="en-US" w:eastAsia="zh-CN"/>
        </w:rPr>
        <w:t>。</w:t>
      </w:r>
    </w:p>
    <w:p>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b w:val="0"/>
          <w:bCs w:val="0"/>
          <w:color w:val="auto"/>
          <w:sz w:val="32"/>
          <w:highlight w:val="none"/>
          <w:lang w:eastAsia="zh-CN"/>
        </w:rPr>
      </w:pPr>
      <w:r>
        <w:rPr>
          <w:rFonts w:hint="eastAsia" w:ascii="Times New Roman" w:hAnsi="Times New Roman" w:eastAsia="仿宋_GB2312" w:cs="Times New Roman"/>
          <w:b w:val="0"/>
          <w:bCs w:val="0"/>
          <w:color w:val="auto"/>
          <w:sz w:val="32"/>
          <w:highlight w:val="none"/>
          <w:lang w:val="en-US" w:eastAsia="zh-CN"/>
        </w:rPr>
        <w:t>（2）</w:t>
      </w:r>
      <w:r>
        <w:rPr>
          <w:rFonts w:hint="default" w:ascii="Times New Roman" w:hAnsi="Times New Roman" w:eastAsia="仿宋_GB2312" w:cs="Times New Roman"/>
          <w:b w:val="0"/>
          <w:bCs w:val="0"/>
          <w:color w:val="auto"/>
          <w:sz w:val="32"/>
          <w:highlight w:val="none"/>
        </w:rPr>
        <w:t>中学购置实验设备</w:t>
      </w:r>
      <w:r>
        <w:rPr>
          <w:rFonts w:hint="eastAsia"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rPr>
        <w:t>以省</w:t>
      </w:r>
      <w:r>
        <w:rPr>
          <w:rFonts w:hint="default" w:ascii="Times New Roman" w:hAnsi="Times New Roman" w:eastAsia="仿宋_GB2312" w:cs="Times New Roman"/>
          <w:b w:val="0"/>
          <w:bCs w:val="0"/>
          <w:color w:val="auto"/>
          <w:sz w:val="32"/>
          <w:highlight w:val="none"/>
          <w:lang w:val="en"/>
        </w:rPr>
        <w:t>（</w:t>
      </w:r>
      <w:r>
        <w:rPr>
          <w:rFonts w:hint="default" w:ascii="Times New Roman" w:hAnsi="Times New Roman" w:eastAsia="仿宋_GB2312" w:cs="Times New Roman"/>
          <w:b w:val="0"/>
          <w:bCs w:val="0"/>
          <w:color w:val="auto"/>
          <w:sz w:val="32"/>
          <w:highlight w:val="none"/>
        </w:rPr>
        <w:t>区</w:t>
      </w:r>
      <w:r>
        <w:rPr>
          <w:rFonts w:hint="eastAsia"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rPr>
        <w:t>市</w:t>
      </w:r>
      <w:r>
        <w:rPr>
          <w:rFonts w:hint="default" w:ascii="Times New Roman" w:hAnsi="Times New Roman" w:eastAsia="仿宋_GB2312" w:cs="Times New Roman"/>
          <w:b w:val="0"/>
          <w:bCs w:val="0"/>
          <w:color w:val="auto"/>
          <w:sz w:val="32"/>
          <w:highlight w:val="none"/>
          <w:lang w:val="en"/>
        </w:rPr>
        <w:t>）</w:t>
      </w:r>
      <w:r>
        <w:rPr>
          <w:rFonts w:hint="default" w:ascii="Times New Roman" w:hAnsi="Times New Roman" w:eastAsia="仿宋_GB2312" w:cs="Times New Roman"/>
          <w:b w:val="0"/>
          <w:bCs w:val="0"/>
          <w:color w:val="auto"/>
          <w:sz w:val="32"/>
          <w:highlight w:val="none"/>
        </w:rPr>
        <w:t>为单位整体批复</w:t>
      </w:r>
      <w:r>
        <w:rPr>
          <w:rFonts w:hint="eastAsia"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rPr>
        <w:t>整体招标采购</w:t>
      </w:r>
      <w:r>
        <w:rPr>
          <w:rFonts w:hint="eastAsia"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rPr>
        <w:t>每省</w:t>
      </w:r>
      <w:r>
        <w:rPr>
          <w:rFonts w:hint="default" w:ascii="Times New Roman" w:hAnsi="Times New Roman" w:eastAsia="仿宋_GB2312" w:cs="Times New Roman"/>
          <w:b w:val="0"/>
          <w:bCs w:val="0"/>
          <w:color w:val="auto"/>
          <w:sz w:val="32"/>
          <w:highlight w:val="none"/>
          <w:lang w:val="en"/>
        </w:rPr>
        <w:t>（</w:t>
      </w:r>
      <w:r>
        <w:rPr>
          <w:rFonts w:hint="default" w:ascii="Times New Roman" w:hAnsi="Times New Roman" w:eastAsia="仿宋_GB2312" w:cs="Times New Roman"/>
          <w:b w:val="0"/>
          <w:bCs w:val="0"/>
          <w:color w:val="auto"/>
          <w:sz w:val="32"/>
          <w:highlight w:val="none"/>
        </w:rPr>
        <w:t>区、市</w:t>
      </w:r>
      <w:r>
        <w:rPr>
          <w:rFonts w:hint="default" w:ascii="Times New Roman" w:hAnsi="Times New Roman" w:eastAsia="仿宋_GB2312" w:cs="Times New Roman"/>
          <w:b w:val="0"/>
          <w:bCs w:val="0"/>
          <w:color w:val="auto"/>
          <w:sz w:val="32"/>
          <w:highlight w:val="none"/>
          <w:lang w:val="en"/>
        </w:rPr>
        <w:t>）</w:t>
      </w:r>
      <w:r>
        <w:rPr>
          <w:rFonts w:hint="default" w:ascii="Times New Roman" w:hAnsi="Times New Roman" w:eastAsia="仿宋_GB2312" w:cs="Times New Roman"/>
          <w:b w:val="0"/>
          <w:bCs w:val="0"/>
          <w:color w:val="auto"/>
          <w:sz w:val="32"/>
          <w:highlight w:val="none"/>
        </w:rPr>
        <w:t>每年支持额度不超过1亿元</w:t>
      </w:r>
      <w:r>
        <w:rPr>
          <w:rFonts w:hint="eastAsia" w:ascii="Times New Roman" w:hAnsi="Times New Roman" w:eastAsia="仿宋_GB2312" w:cs="Times New Roman"/>
          <w:b w:val="0"/>
          <w:bCs w:val="0"/>
          <w:color w:val="auto"/>
          <w:sz w:val="32"/>
          <w:highlight w:val="none"/>
          <w:lang w:eastAsia="zh-CN"/>
        </w:rPr>
        <w:t>。</w:t>
      </w:r>
    </w:p>
    <w:p>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b w:val="0"/>
          <w:bCs w:val="0"/>
          <w:color w:val="auto"/>
          <w:sz w:val="32"/>
          <w:highlight w:val="none"/>
        </w:rPr>
      </w:pPr>
      <w:r>
        <w:rPr>
          <w:rFonts w:hint="eastAsia" w:ascii="Times New Roman" w:hAnsi="Times New Roman" w:eastAsia="仿宋_GB2312" w:cs="Times New Roman"/>
          <w:b w:val="0"/>
          <w:bCs w:val="0"/>
          <w:color w:val="auto"/>
          <w:sz w:val="32"/>
          <w:highlight w:val="none"/>
          <w:lang w:eastAsia="zh-CN"/>
        </w:rPr>
        <w:t>（</w:t>
      </w:r>
      <w:r>
        <w:rPr>
          <w:rFonts w:hint="eastAsia" w:ascii="Times New Roman" w:hAnsi="Times New Roman" w:eastAsia="仿宋_GB2312" w:cs="Times New Roman"/>
          <w:b w:val="0"/>
          <w:bCs w:val="0"/>
          <w:color w:val="auto"/>
          <w:sz w:val="32"/>
          <w:highlight w:val="none"/>
          <w:lang w:val="en-US" w:eastAsia="zh-CN"/>
        </w:rPr>
        <w:t>3</w:t>
      </w:r>
      <w:r>
        <w:rPr>
          <w:rFonts w:hint="eastAsia"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rPr>
        <w:t>“双一流”高校新校区建设</w:t>
      </w:r>
      <w:r>
        <w:rPr>
          <w:rFonts w:hint="eastAsia"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rPr>
        <w:t>结合办学规模、建设规模等测算</w:t>
      </w:r>
      <w:r>
        <w:rPr>
          <w:rFonts w:hint="eastAsia"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rPr>
        <w:t>每所高校支持额度不超过30亿元</w:t>
      </w:r>
      <w:r>
        <w:rPr>
          <w:rFonts w:hint="eastAsia" w:ascii="Times New Roman" w:hAnsi="Times New Roman" w:eastAsia="仿宋_GB2312" w:cs="Times New Roman"/>
          <w:b w:val="0"/>
          <w:bCs w:val="0"/>
          <w:color w:val="auto"/>
          <w:sz w:val="32"/>
          <w:highlight w:val="none"/>
          <w:lang w:val="en-US" w:eastAsia="zh-CN"/>
        </w:rPr>
        <w:t>；</w:t>
      </w:r>
      <w:r>
        <w:rPr>
          <w:rFonts w:hint="default" w:ascii="Times New Roman" w:hAnsi="Times New Roman" w:eastAsia="仿宋_GB2312" w:cs="Times New Roman"/>
          <w:b w:val="0"/>
          <w:bCs w:val="0"/>
          <w:color w:val="auto"/>
          <w:sz w:val="32"/>
          <w:highlight w:val="none"/>
        </w:rPr>
        <w:t>科研能力建设</w:t>
      </w:r>
      <w:r>
        <w:rPr>
          <w:rFonts w:hint="eastAsia"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rPr>
        <w:t>“双一流”高校支持额度不超过6亿元</w:t>
      </w:r>
      <w:r>
        <w:rPr>
          <w:rFonts w:hint="eastAsia"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rPr>
        <w:t>其他高校不超过 2 亿元</w:t>
      </w:r>
      <w:r>
        <w:rPr>
          <w:rFonts w:hint="eastAsia"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rPr>
        <w:t>高校学生宿舍建设</w:t>
      </w:r>
      <w:r>
        <w:rPr>
          <w:rFonts w:hint="eastAsia"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rPr>
        <w:t>“双一流”高校结合宿舍缺口面积测算支持额度</w:t>
      </w:r>
      <w:r>
        <w:rPr>
          <w:rFonts w:hint="eastAsia"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rPr>
        <w:t>其他高校每校支持额度不超过2亿元</w:t>
      </w:r>
      <w:r>
        <w:rPr>
          <w:rFonts w:hint="eastAsia"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rPr>
        <w:t>符合条件的中外合作办学项目建设</w:t>
      </w:r>
      <w:r>
        <w:rPr>
          <w:rFonts w:hint="eastAsia"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rPr>
        <w:t>根据办学规模、建设规模等测算支持额度。</w:t>
      </w:r>
    </w:p>
    <w:p>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b w:val="0"/>
          <w:bCs w:val="0"/>
          <w:color w:val="auto"/>
          <w:sz w:val="32"/>
          <w:highlight w:val="none"/>
        </w:rPr>
      </w:pP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黑体" w:cs="Times New Roman"/>
          <w:color w:val="auto"/>
          <w:sz w:val="32"/>
          <w:szCs w:val="32"/>
          <w:highlight w:val="none"/>
          <w:lang w:eastAsia="zh-CN"/>
        </w:rPr>
      </w:pPr>
      <w:r>
        <w:rPr>
          <w:rFonts w:hint="eastAsia" w:ascii="黑体" w:hAnsi="黑体" w:eastAsia="黑体" w:cs="黑体"/>
          <w:color w:val="auto"/>
          <w:sz w:val="32"/>
          <w:szCs w:val="32"/>
          <w:highlight w:val="none"/>
          <w:lang w:eastAsia="zh-CN"/>
        </w:rPr>
        <w:t>十八、</w:t>
      </w:r>
      <w:bookmarkEnd w:id="113"/>
      <w:bookmarkEnd w:id="114"/>
      <w:bookmarkEnd w:id="115"/>
      <w:bookmarkEnd w:id="116"/>
      <w:bookmarkEnd w:id="117"/>
      <w:r>
        <w:rPr>
          <w:rFonts w:hint="default" w:ascii="Times New Roman" w:hAnsi="Times New Roman" w:eastAsia="黑体" w:cs="Times New Roman"/>
          <w:color w:val="auto"/>
          <w:sz w:val="32"/>
          <w:szCs w:val="32"/>
          <w:highlight w:val="none"/>
          <w:lang w:eastAsia="zh-CN"/>
        </w:rPr>
        <w:t>教育强国基础设施建设工程</w:t>
      </w:r>
      <w:r>
        <w:rPr>
          <w:rFonts w:hint="default" w:ascii="Times New Roman" w:hAnsi="Times New Roman" w:eastAsia="黑体" w:cs="Times New Roman"/>
          <w:color w:val="auto"/>
          <w:sz w:val="32"/>
          <w:szCs w:val="32"/>
          <w:highlight w:val="none"/>
          <w:lang w:val="en" w:eastAsia="zh-CN"/>
        </w:rPr>
        <w:t>（</w:t>
      </w:r>
      <w:r>
        <w:rPr>
          <w:rFonts w:hint="default" w:ascii="Times New Roman" w:hAnsi="Times New Roman" w:eastAsia="黑体" w:cs="Times New Roman"/>
          <w:color w:val="auto"/>
          <w:sz w:val="32"/>
          <w:szCs w:val="32"/>
          <w:highlight w:val="none"/>
          <w:lang w:eastAsia="zh-CN"/>
        </w:rPr>
        <w:t>公共实训基地方向）专项</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1.政策依据</w:t>
      </w:r>
    </w:p>
    <w:p>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国家发展改革委《关于修订印发</w:t>
      </w:r>
      <w:r>
        <w:rPr>
          <w:rFonts w:hint="eastAsia" w:ascii="Times New Roman" w:hAnsi="Times New Roman" w:eastAsia="仿宋_GB2312" w:cs="Times New Roman"/>
          <w:color w:val="auto"/>
          <w:sz w:val="32"/>
          <w:highlight w:val="none"/>
          <w:lang w:val="en-US" w:eastAsia="zh-CN"/>
        </w:rPr>
        <w:t>&lt;</w:t>
      </w:r>
      <w:r>
        <w:rPr>
          <w:rFonts w:hint="default" w:ascii="Times New Roman" w:hAnsi="Times New Roman" w:eastAsia="仿宋_GB2312" w:cs="Times New Roman"/>
          <w:color w:val="auto"/>
          <w:sz w:val="32"/>
          <w:highlight w:val="none"/>
        </w:rPr>
        <w:t>教育强国基础设施建设工程（公共实训基地方向）中央预算内投资专项管理办法</w:t>
      </w:r>
      <w:r>
        <w:rPr>
          <w:rFonts w:hint="eastAsia" w:ascii="Times New Roman" w:hAnsi="Times New Roman" w:eastAsia="仿宋_GB2312" w:cs="Times New Roman"/>
          <w:color w:val="auto"/>
          <w:sz w:val="32"/>
          <w:highlight w:val="none"/>
          <w:lang w:val="en-US" w:eastAsia="zh-CN"/>
        </w:rPr>
        <w:t>&gt;</w:t>
      </w:r>
      <w:r>
        <w:rPr>
          <w:rFonts w:hint="default" w:ascii="Times New Roman" w:hAnsi="Times New Roman" w:eastAsia="仿宋_GB2312" w:cs="Times New Roman"/>
          <w:color w:val="auto"/>
          <w:sz w:val="32"/>
          <w:highlight w:val="none"/>
        </w:rPr>
        <w:t>的通知》（发改就业规〔202</w:t>
      </w:r>
      <w:r>
        <w:rPr>
          <w:rFonts w:hint="default" w:ascii="Times New Roman" w:hAnsi="Times New Roman" w:eastAsia="仿宋_GB2312" w:cs="Times New Roman"/>
          <w:color w:val="auto"/>
          <w:sz w:val="32"/>
          <w:highlight w:val="none"/>
          <w:lang w:val="en-US" w:eastAsia="zh-CN"/>
        </w:rPr>
        <w:t>4</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1228</w:t>
      </w:r>
      <w:r>
        <w:rPr>
          <w:rFonts w:hint="default" w:ascii="Times New Roman" w:hAnsi="Times New Roman" w:eastAsia="仿宋_GB2312" w:cs="Times New Roman"/>
          <w:color w:val="auto"/>
          <w:sz w:val="32"/>
          <w:highlight w:val="none"/>
        </w:rPr>
        <w:t>号）。</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2.支持范围</w:t>
      </w:r>
    </w:p>
    <w:p>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lang w:eastAsia="zh-CN"/>
        </w:rPr>
        <w:t>国家发展改革委按照省级、市级、县级三个类别，统筹推进公共实训基地项目</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eastAsia="zh-CN"/>
        </w:rPr>
        <w:t>公共实训基地需独立建设，内部一般由实训场地、培训教室、实训设备、信息化设施以及必要的辅助设施组成。</w:t>
      </w:r>
    </w:p>
    <w:p>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eastAsia="zh-CN"/>
        </w:rPr>
        <w:t>公共实训基地建设可采用新建、改扩建的方式，支持未获得中央预算内投资支持的现有公共职业技能培训设施升级改造；支持利用闲置校园、厂区、楼宇等场所改扩建。对已获得中央预算内投资支持并且建成后连续运营</w:t>
      </w:r>
      <w:r>
        <w:rPr>
          <w:rFonts w:hint="default" w:ascii="Times New Roman" w:hAnsi="Times New Roman" w:eastAsia="仿宋_GB2312" w:cs="Times New Roman"/>
          <w:color w:val="auto"/>
          <w:sz w:val="32"/>
          <w:highlight w:val="none"/>
          <w:lang w:val="en-US" w:eastAsia="zh-CN"/>
        </w:rPr>
        <w:t>5年以上、社会效益良好的公共实训基地，在充分论证培训供需形势和建设必要性基础上，可支持在原有项目基础上提质扩容。</w:t>
      </w:r>
    </w:p>
    <w:p>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楷体_GB2312" w:cs="Times New Roman"/>
          <w:b/>
          <w:bCs/>
          <w:color w:val="auto"/>
          <w:sz w:val="32"/>
          <w:szCs w:val="32"/>
          <w:highlight w:val="none"/>
          <w:lang w:eastAsia="zh-CN"/>
        </w:rPr>
      </w:pPr>
      <w:r>
        <w:rPr>
          <w:rFonts w:hint="eastAsia" w:ascii="Times New Roman" w:hAnsi="Times New Roman" w:eastAsia="楷体_GB2312" w:cs="Times New Roman"/>
          <w:b/>
          <w:bCs/>
          <w:color w:val="auto"/>
          <w:sz w:val="32"/>
          <w:szCs w:val="32"/>
          <w:highlight w:val="none"/>
          <w:lang w:val="en-US" w:eastAsia="zh-CN"/>
        </w:rPr>
        <w:t>3.</w:t>
      </w:r>
      <w:r>
        <w:rPr>
          <w:rFonts w:hint="eastAsia" w:ascii="Times New Roman" w:hAnsi="Times New Roman" w:eastAsia="楷体_GB2312" w:cs="Times New Roman"/>
          <w:b/>
          <w:bCs/>
          <w:color w:val="auto"/>
          <w:sz w:val="32"/>
          <w:szCs w:val="32"/>
          <w:highlight w:val="none"/>
          <w:lang w:eastAsia="zh-CN"/>
        </w:rPr>
        <w:t>支持比例</w:t>
      </w:r>
    </w:p>
    <w:p>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b w:val="0"/>
          <w:bCs w:val="0"/>
          <w:color w:val="auto"/>
          <w:sz w:val="32"/>
          <w:highlight w:val="none"/>
          <w:lang w:eastAsia="zh-CN"/>
        </w:rPr>
      </w:pPr>
      <w:r>
        <w:rPr>
          <w:rFonts w:hint="default" w:ascii="Times New Roman" w:hAnsi="Times New Roman" w:eastAsia="仿宋_GB2312" w:cs="Times New Roman"/>
          <w:b w:val="0"/>
          <w:bCs w:val="0"/>
          <w:color w:val="auto"/>
          <w:sz w:val="32"/>
          <w:highlight w:val="none"/>
          <w:lang w:eastAsia="zh-CN"/>
        </w:rPr>
        <w:t>原则上按照不超过总投资（不含土地费用、市政费用，仅为工程建设投资，下同）60%的比例进行支持。对于投资限额规定如下：</w:t>
      </w:r>
    </w:p>
    <w:p>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b w:val="0"/>
          <w:bCs w:val="0"/>
          <w:color w:val="auto"/>
          <w:sz w:val="32"/>
          <w:highlight w:val="none"/>
          <w:lang w:val="en-US" w:eastAsia="zh-CN"/>
        </w:rPr>
      </w:pPr>
      <w:r>
        <w:rPr>
          <w:rFonts w:hint="default"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lang w:val="en-US" w:eastAsia="zh-CN"/>
        </w:rPr>
        <w:t>1</w:t>
      </w:r>
      <w:r>
        <w:rPr>
          <w:rFonts w:hint="default" w:ascii="Times New Roman" w:hAnsi="Times New Roman" w:eastAsia="仿宋_GB2312" w:cs="Times New Roman"/>
          <w:b w:val="0"/>
          <w:bCs w:val="0"/>
          <w:color w:val="auto"/>
          <w:sz w:val="32"/>
          <w:highlight w:val="none"/>
          <w:lang w:eastAsia="zh-CN"/>
        </w:rPr>
        <w:t>）省级公共实训基地项目的支持上限为</w:t>
      </w:r>
      <w:r>
        <w:rPr>
          <w:rFonts w:hint="default" w:ascii="Times New Roman" w:hAnsi="Times New Roman" w:eastAsia="仿宋_GB2312" w:cs="Times New Roman"/>
          <w:b w:val="0"/>
          <w:bCs w:val="0"/>
          <w:color w:val="auto"/>
          <w:sz w:val="32"/>
          <w:highlight w:val="none"/>
          <w:lang w:val="en-US" w:eastAsia="zh-CN"/>
        </w:rPr>
        <w:t>1亿元。</w:t>
      </w:r>
    </w:p>
    <w:p>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b w:val="0"/>
          <w:bCs w:val="0"/>
          <w:color w:val="auto"/>
          <w:sz w:val="32"/>
          <w:highlight w:val="none"/>
          <w:lang w:val="en-US" w:eastAsia="zh-CN"/>
        </w:rPr>
      </w:pPr>
      <w:r>
        <w:rPr>
          <w:rFonts w:hint="default"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lang w:val="en-US" w:eastAsia="zh-CN"/>
        </w:rPr>
        <w:t>2</w:t>
      </w:r>
      <w:r>
        <w:rPr>
          <w:rFonts w:hint="default"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lang w:val="en-US" w:eastAsia="zh-CN"/>
        </w:rPr>
        <w:t>市级公共实训基地项目的支持上限为7000万元。</w:t>
      </w:r>
    </w:p>
    <w:p>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b w:val="0"/>
          <w:bCs w:val="0"/>
          <w:color w:val="auto"/>
          <w:sz w:val="32"/>
          <w:highlight w:val="none"/>
          <w:lang w:val="en-US" w:eastAsia="zh-CN"/>
        </w:rPr>
      </w:pPr>
      <w:r>
        <w:rPr>
          <w:rFonts w:hint="default"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lang w:val="en-US" w:eastAsia="zh-CN"/>
        </w:rPr>
        <w:t>3</w:t>
      </w:r>
      <w:r>
        <w:rPr>
          <w:rFonts w:hint="default"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lang w:val="en-US" w:eastAsia="zh-CN"/>
        </w:rPr>
        <w:t>县级公共实训基地项目的支持上限为3000万元。</w:t>
      </w:r>
    </w:p>
    <w:p>
      <w:pPr>
        <w:pStyle w:val="6"/>
        <w:keepNext w:val="0"/>
        <w:keepLines w:val="0"/>
        <w:pageBreakBefore w:val="0"/>
        <w:kinsoku/>
        <w:wordWrap/>
        <w:overflowPunct/>
        <w:topLinePunct w:val="0"/>
        <w:autoSpaceDE/>
        <w:autoSpaceDN/>
        <w:bidi w:val="0"/>
        <w:adjustRightInd/>
        <w:snapToGrid/>
        <w:spacing w:line="540" w:lineRule="exact"/>
        <w:ind w:left="0" w:leftChars="0"/>
        <w:jc w:val="both"/>
        <w:textAlignment w:val="auto"/>
        <w:rPr>
          <w:rFonts w:hint="eastAsia" w:ascii="仿宋_GB2312" w:hAnsi="仿宋_GB2312" w:eastAsia="仿宋_GB2312" w:cs="仿宋_GB2312"/>
          <w:color w:val="auto"/>
          <w:sz w:val="32"/>
          <w:highlight w:val="none"/>
          <w:lang w:eastAsia="zh-CN"/>
        </w:rPr>
      </w:pP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十九、优质高效医疗卫生服务体系建设专项</w:t>
      </w:r>
      <w:bookmarkEnd w:id="118"/>
      <w:bookmarkEnd w:id="119"/>
      <w:bookmarkEnd w:id="120"/>
      <w:bookmarkEnd w:id="121"/>
      <w:bookmarkEnd w:id="122"/>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lang w:val="en-US" w:eastAsia="zh-CN"/>
        </w:rPr>
        <w:t>1.政策依据</w:t>
      </w:r>
    </w:p>
    <w:p>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国家发展改革委《关于印发&lt;“十四五”优质高效医疗卫生服务体系建设实施方案&gt;的通知》（发改社会〔2021〕893号）；</w:t>
      </w:r>
      <w:r>
        <w:rPr>
          <w:rFonts w:hint="default" w:ascii="Times New Roman" w:hAnsi="Times New Roman" w:eastAsia="仿宋_GB2312" w:cs="Times New Roman"/>
          <w:color w:val="auto"/>
          <w:sz w:val="32"/>
          <w:highlight w:val="none"/>
          <w:lang w:eastAsia="zh-CN"/>
        </w:rPr>
        <w:t>国家发展改革委</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eastAsia="zh-CN"/>
        </w:rPr>
        <w:t>关于修订印发社会领域中央预算内投资相关专项管理办法的通知</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eastAsia="zh-CN"/>
        </w:rPr>
        <w:t>（发改社会规〔2024〕284号）。</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2.支持范围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bCs/>
          <w:color w:val="auto"/>
          <w:kern w:val="2"/>
          <w:sz w:val="32"/>
          <w:szCs w:val="32"/>
          <w:highlight w:val="none"/>
          <w:lang w:val="en-US" w:eastAsia="zh-CN" w:bidi="ar-SA"/>
        </w:rPr>
        <w:t>1</w:t>
      </w:r>
      <w:r>
        <w:rPr>
          <w:rFonts w:hint="default" w:ascii="Times New Roman" w:hAnsi="Times New Roman" w:eastAsia="仿宋_GB2312" w:cs="Times New Roman"/>
          <w:b/>
          <w:bCs/>
          <w:color w:val="auto"/>
          <w:kern w:val="2"/>
          <w:sz w:val="32"/>
          <w:szCs w:val="32"/>
          <w:highlight w:val="none"/>
          <w:lang w:val="en-US" w:eastAsia="zh-CN" w:bidi="ar-SA"/>
        </w:rPr>
        <w:t>）公共卫生应急和救治能力提升</w:t>
      </w:r>
      <w:r>
        <w:rPr>
          <w:rFonts w:hint="eastAsia" w:ascii="Times New Roman" w:hAnsi="Times New Roman" w:eastAsia="仿宋_GB2312" w:cs="Times New Roman"/>
          <w:b/>
          <w:bCs/>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包括规划布局“平急两用”公共基础设施的超大特大城市以及有条件的大城市相关应急保障医院建设等</w:t>
      </w:r>
      <w:r>
        <w:rPr>
          <w:rFonts w:hint="eastAsia" w:ascii="Times New Roman" w:hAnsi="Times New Roman" w:eastAsia="仿宋_GB2312" w:cs="Times New Roman"/>
          <w:b w:val="0"/>
          <w:bCs w:val="0"/>
          <w:color w:val="auto"/>
          <w:kern w:val="2"/>
          <w:sz w:val="32"/>
          <w:szCs w:val="32"/>
          <w:highlight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bCs/>
          <w:color w:val="auto"/>
          <w:kern w:val="2"/>
          <w:sz w:val="32"/>
          <w:szCs w:val="32"/>
          <w:highlight w:val="none"/>
          <w:lang w:val="en-US" w:eastAsia="zh-CN" w:bidi="ar-SA"/>
        </w:rPr>
        <w:t>2</w:t>
      </w:r>
      <w:r>
        <w:rPr>
          <w:rFonts w:hint="default" w:ascii="Times New Roman" w:hAnsi="Times New Roman" w:eastAsia="仿宋_GB2312" w:cs="Times New Roman"/>
          <w:b/>
          <w:bCs/>
          <w:color w:val="auto"/>
          <w:kern w:val="2"/>
          <w:sz w:val="32"/>
          <w:szCs w:val="32"/>
          <w:highlight w:val="none"/>
          <w:lang w:val="en-US" w:eastAsia="zh-CN" w:bidi="ar-SA"/>
        </w:rPr>
        <w:t>）公立医院高质量发展</w:t>
      </w:r>
      <w:r>
        <w:rPr>
          <w:rFonts w:hint="eastAsia" w:ascii="Times New Roman" w:hAnsi="Times New Roman" w:eastAsia="仿宋_GB2312" w:cs="Times New Roman"/>
          <w:b/>
          <w:bCs/>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包括县域医共体建设、公立医院病房改造提升等</w:t>
      </w:r>
      <w:r>
        <w:rPr>
          <w:rFonts w:hint="eastAsia" w:ascii="Times New Roman" w:hAnsi="Times New Roman" w:eastAsia="仿宋_GB2312" w:cs="Times New Roman"/>
          <w:b w:val="0"/>
          <w:bCs w:val="0"/>
          <w:color w:val="auto"/>
          <w:kern w:val="2"/>
          <w:sz w:val="32"/>
          <w:szCs w:val="32"/>
          <w:highlight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bCs/>
          <w:color w:val="auto"/>
          <w:kern w:val="2"/>
          <w:sz w:val="32"/>
          <w:szCs w:val="32"/>
          <w:highlight w:val="none"/>
          <w:lang w:val="en-US" w:eastAsia="zh-CN" w:bidi="ar-SA"/>
        </w:rPr>
        <w:t>3</w:t>
      </w:r>
      <w:r>
        <w:rPr>
          <w:rFonts w:hint="default" w:ascii="Times New Roman" w:hAnsi="Times New Roman" w:eastAsia="仿宋_GB2312" w:cs="Times New Roman"/>
          <w:b/>
          <w:bCs/>
          <w:color w:val="auto"/>
          <w:kern w:val="2"/>
          <w:sz w:val="32"/>
          <w:szCs w:val="32"/>
          <w:highlight w:val="none"/>
          <w:lang w:val="en-US" w:eastAsia="zh-CN" w:bidi="ar-SA"/>
        </w:rPr>
        <w:t>）重点人群健康服务补短板</w:t>
      </w:r>
      <w:r>
        <w:rPr>
          <w:rFonts w:hint="eastAsia" w:ascii="Times New Roman" w:hAnsi="Times New Roman" w:eastAsia="仿宋_GB2312" w:cs="Times New Roman"/>
          <w:b/>
          <w:bCs/>
          <w:color w:val="auto"/>
          <w:kern w:val="2"/>
          <w:sz w:val="32"/>
          <w:szCs w:val="32"/>
          <w:highlight w:val="none"/>
          <w:lang w:val="en-US" w:eastAsia="zh-CN" w:bidi="ar-SA"/>
        </w:rPr>
        <w:t>。</w:t>
      </w:r>
      <w:r>
        <w:rPr>
          <w:rFonts w:hint="default" w:ascii="Times New Roman" w:hAnsi="Times New Roman" w:eastAsia="仿宋_GB2312" w:cs="Times New Roman"/>
          <w:color w:val="auto"/>
          <w:sz w:val="32"/>
          <w:highlight w:val="none"/>
        </w:rPr>
        <w:t>支持分娩量较大、人口较多的地市级妇幼保健机构项目建设</w:t>
      </w:r>
      <w:r>
        <w:rPr>
          <w:rFonts w:hint="eastAsia" w:ascii="Times New Roman" w:hAnsi="Times New Roman" w:eastAsia="仿宋_GB2312" w:cs="Times New Roman"/>
          <w:color w:val="auto"/>
          <w:sz w:val="32"/>
          <w:highlight w:val="none"/>
          <w:lang w:eastAsia="zh-CN"/>
        </w:rPr>
        <w:t>等</w:t>
      </w:r>
      <w:r>
        <w:rPr>
          <w:rFonts w:hint="default" w:ascii="Times New Roman" w:hAnsi="Times New Roman" w:eastAsia="仿宋_GB2312" w:cs="Times New Roman"/>
          <w:color w:val="auto"/>
          <w:sz w:val="32"/>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bCs/>
          <w:color w:val="auto"/>
          <w:kern w:val="2"/>
          <w:sz w:val="32"/>
          <w:szCs w:val="32"/>
          <w:highlight w:val="none"/>
          <w:lang w:val="en-US" w:eastAsia="zh-CN" w:bidi="ar-SA"/>
        </w:rPr>
        <w:t>4</w:t>
      </w:r>
      <w:r>
        <w:rPr>
          <w:rFonts w:hint="default" w:ascii="Times New Roman" w:hAnsi="Times New Roman" w:eastAsia="仿宋_GB2312" w:cs="Times New Roman"/>
          <w:b/>
          <w:bCs/>
          <w:color w:val="auto"/>
          <w:kern w:val="2"/>
          <w:sz w:val="32"/>
          <w:szCs w:val="32"/>
          <w:highlight w:val="none"/>
          <w:lang w:val="en-US" w:eastAsia="zh-CN" w:bidi="ar-SA"/>
        </w:rPr>
        <w:t>）促进中医药传承创新</w:t>
      </w:r>
      <w:r>
        <w:rPr>
          <w:rFonts w:hint="eastAsia" w:ascii="Times New Roman" w:hAnsi="Times New Roman" w:eastAsia="仿宋_GB2312" w:cs="Times New Roman"/>
          <w:b/>
          <w:bCs/>
          <w:color w:val="auto"/>
          <w:kern w:val="2"/>
          <w:sz w:val="32"/>
          <w:szCs w:val="32"/>
          <w:highlight w:val="none"/>
          <w:lang w:val="en-US" w:eastAsia="zh-CN" w:bidi="ar-SA"/>
        </w:rPr>
        <w:t>。</w:t>
      </w:r>
      <w:r>
        <w:rPr>
          <w:rFonts w:hint="default" w:ascii="Times New Roman" w:hAnsi="Times New Roman" w:eastAsia="仿宋_GB2312" w:cs="Times New Roman"/>
          <w:color w:val="auto"/>
          <w:sz w:val="32"/>
          <w:highlight w:val="none"/>
        </w:rPr>
        <w:t>支持国家中医药传承创新中心、国家中医疫病防治基地、中西医协同“旗舰”医院、中医特色重点医院建设。</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5</w:t>
      </w:r>
      <w:r>
        <w:rPr>
          <w:rFonts w:hint="default" w:ascii="Times New Roman" w:hAnsi="Times New Roman" w:eastAsia="仿宋_GB2312" w:cs="Times New Roman"/>
          <w:b w:val="0"/>
          <w:bCs w:val="0"/>
          <w:color w:val="auto"/>
          <w:kern w:val="2"/>
          <w:sz w:val="32"/>
          <w:szCs w:val="32"/>
          <w:highlight w:val="none"/>
          <w:lang w:val="en-US" w:eastAsia="zh-CN" w:bidi="ar-SA"/>
        </w:rPr>
        <w:t>）产粮大县医疗卫生项目。</w:t>
      </w:r>
    </w:p>
    <w:p>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楷体_GB2312" w:cs="Times New Roman"/>
          <w:b/>
          <w:bCs/>
          <w:color w:val="auto"/>
          <w:sz w:val="32"/>
          <w:szCs w:val="32"/>
          <w:highlight w:val="none"/>
          <w:lang w:eastAsia="zh-CN"/>
        </w:rPr>
      </w:pPr>
      <w:r>
        <w:rPr>
          <w:rFonts w:hint="eastAsia" w:ascii="Times New Roman" w:hAnsi="Times New Roman" w:eastAsia="楷体_GB2312" w:cs="Times New Roman"/>
          <w:b/>
          <w:bCs/>
          <w:color w:val="auto"/>
          <w:sz w:val="32"/>
          <w:szCs w:val="32"/>
          <w:highlight w:val="none"/>
          <w:lang w:val="en-US" w:eastAsia="zh-CN"/>
        </w:rPr>
        <w:t>3.</w:t>
      </w:r>
      <w:r>
        <w:rPr>
          <w:rFonts w:hint="eastAsia" w:ascii="Times New Roman" w:hAnsi="Times New Roman" w:eastAsia="楷体_GB2312" w:cs="Times New Roman"/>
          <w:b/>
          <w:bCs/>
          <w:color w:val="auto"/>
          <w:sz w:val="32"/>
          <w:szCs w:val="32"/>
          <w:highlight w:val="none"/>
          <w:lang w:eastAsia="zh-CN"/>
        </w:rPr>
        <w:t>支持比例</w:t>
      </w:r>
    </w:p>
    <w:p>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原则上</w:t>
      </w:r>
      <w:r>
        <w:rPr>
          <w:rFonts w:hint="eastAsia" w:ascii="Times New Roman" w:hAnsi="Times New Roman" w:eastAsia="仿宋_GB2312" w:cs="Times New Roman"/>
          <w:color w:val="auto"/>
          <w:sz w:val="32"/>
          <w:highlight w:val="none"/>
          <w:lang w:eastAsia="zh-CN"/>
        </w:rPr>
        <w:t>按照</w:t>
      </w:r>
      <w:r>
        <w:rPr>
          <w:rFonts w:hint="default" w:ascii="Times New Roman" w:hAnsi="Times New Roman" w:eastAsia="仿宋_GB2312" w:cs="Times New Roman"/>
          <w:color w:val="auto"/>
          <w:sz w:val="32"/>
          <w:highlight w:val="none"/>
        </w:rPr>
        <w:t>不超过总投资</w:t>
      </w:r>
      <w:r>
        <w:rPr>
          <w:rFonts w:hint="default" w:ascii="Times New Roman" w:hAnsi="Times New Roman" w:eastAsia="仿宋_GB2312" w:cs="Times New Roman"/>
          <w:color w:val="auto"/>
          <w:sz w:val="32"/>
          <w:highlight w:val="none"/>
          <w:lang w:val="en"/>
        </w:rPr>
        <w:t>（</w:t>
      </w:r>
      <w:r>
        <w:rPr>
          <w:rFonts w:hint="default" w:ascii="Times New Roman" w:hAnsi="Times New Roman" w:eastAsia="仿宋_GB2312" w:cs="Times New Roman"/>
          <w:color w:val="auto"/>
          <w:sz w:val="32"/>
          <w:highlight w:val="none"/>
        </w:rPr>
        <w:t>不含土地费用、市政费用</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仅为工程建设投资,下同</w:t>
      </w:r>
      <w:r>
        <w:rPr>
          <w:rFonts w:hint="default" w:ascii="Times New Roman" w:hAnsi="Times New Roman" w:eastAsia="仿宋_GB2312" w:cs="Times New Roman"/>
          <w:color w:val="auto"/>
          <w:sz w:val="32"/>
          <w:highlight w:val="none"/>
          <w:lang w:val="en"/>
        </w:rPr>
        <w:t>）</w:t>
      </w:r>
      <w:r>
        <w:rPr>
          <w:rFonts w:hint="default" w:ascii="Times New Roman" w:hAnsi="Times New Roman" w:eastAsia="仿宋_GB2312" w:cs="Times New Roman"/>
          <w:color w:val="auto"/>
          <w:sz w:val="32"/>
          <w:highlight w:val="none"/>
        </w:rPr>
        <w:t>60%</w:t>
      </w:r>
      <w:r>
        <w:rPr>
          <w:rFonts w:hint="default" w:ascii="Times New Roman" w:hAnsi="Times New Roman" w:eastAsia="仿宋_GB2312" w:cs="Times New Roman"/>
          <w:b w:val="0"/>
          <w:bCs w:val="0"/>
          <w:color w:val="auto"/>
          <w:sz w:val="32"/>
          <w:highlight w:val="none"/>
          <w:lang w:eastAsia="zh-CN"/>
        </w:rPr>
        <w:t>的比例进行</w:t>
      </w:r>
      <w:r>
        <w:rPr>
          <w:rFonts w:hint="default" w:ascii="Times New Roman" w:hAnsi="Times New Roman" w:eastAsia="仿宋_GB2312" w:cs="Times New Roman"/>
          <w:color w:val="auto"/>
          <w:sz w:val="32"/>
          <w:highlight w:val="none"/>
        </w:rPr>
        <w:t>支持</w:t>
      </w:r>
      <w:r>
        <w:rPr>
          <w:rFonts w:hint="eastAsia" w:ascii="Times New Roman" w:hAnsi="Times New Roman" w:eastAsia="仿宋_GB2312" w:cs="Times New Roman"/>
          <w:color w:val="auto"/>
          <w:sz w:val="32"/>
          <w:highlight w:val="none"/>
          <w:lang w:eastAsia="zh-CN"/>
        </w:rPr>
        <w:t>。其中，</w:t>
      </w:r>
      <w:r>
        <w:rPr>
          <w:rFonts w:hint="default" w:ascii="Times New Roman" w:hAnsi="Times New Roman" w:eastAsia="仿宋_GB2312" w:cs="Times New Roman"/>
          <w:color w:val="auto"/>
          <w:sz w:val="32"/>
          <w:highlight w:val="none"/>
        </w:rPr>
        <w:t>“平急两用”应急保障医院、省级精神专科医院或综合医院精神病区项目单个项目支持额度最高分别不超过5000万元</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2亿元</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定额支持项目、产粮大县方向另行规定。</w:t>
      </w:r>
    </w:p>
    <w:p>
      <w:pPr>
        <w:pStyle w:val="6"/>
        <w:keepNext w:val="0"/>
        <w:keepLines w:val="0"/>
        <w:pageBreakBefore w:val="0"/>
        <w:kinsoku/>
        <w:wordWrap/>
        <w:overflowPunct/>
        <w:topLinePunct w:val="0"/>
        <w:autoSpaceDE/>
        <w:autoSpaceDN/>
        <w:bidi w:val="0"/>
        <w:adjustRightInd/>
        <w:snapToGrid/>
        <w:spacing w:line="540" w:lineRule="exact"/>
        <w:ind w:left="0" w:leftChars="0"/>
        <w:jc w:val="both"/>
        <w:textAlignment w:val="auto"/>
        <w:rPr>
          <w:rFonts w:hint="eastAsia" w:ascii="仿宋_GB2312" w:hAnsi="仿宋_GB2312" w:eastAsia="仿宋_GB2312" w:cs="仿宋_GB2312"/>
          <w:color w:val="auto"/>
          <w:sz w:val="32"/>
          <w:highlight w:val="none"/>
        </w:rPr>
      </w:pP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bookmarkStart w:id="124" w:name="_Toc3990"/>
      <w:bookmarkStart w:id="125" w:name="_Toc32282"/>
      <w:bookmarkStart w:id="126" w:name="_Toc87"/>
      <w:bookmarkStart w:id="127" w:name="_Toc26164"/>
      <w:bookmarkStart w:id="128" w:name="_Toc16895"/>
      <w:r>
        <w:rPr>
          <w:rFonts w:hint="eastAsia" w:ascii="黑体" w:hAnsi="黑体" w:eastAsia="黑体" w:cs="黑体"/>
          <w:color w:val="auto"/>
          <w:sz w:val="32"/>
          <w:szCs w:val="32"/>
          <w:highlight w:val="none"/>
          <w:lang w:eastAsia="zh-CN"/>
        </w:rPr>
        <w:t>二十、</w:t>
      </w:r>
      <w:bookmarkEnd w:id="124"/>
      <w:bookmarkEnd w:id="125"/>
      <w:bookmarkEnd w:id="126"/>
      <w:bookmarkEnd w:id="127"/>
      <w:bookmarkEnd w:id="128"/>
      <w:r>
        <w:rPr>
          <w:rFonts w:hint="default" w:ascii="Times New Roman" w:hAnsi="Times New Roman" w:eastAsia="黑体" w:cs="Times New Roman"/>
          <w:color w:val="auto"/>
          <w:sz w:val="32"/>
          <w:szCs w:val="32"/>
          <w:highlight w:val="none"/>
          <w:lang w:eastAsia="zh-CN"/>
        </w:rPr>
        <w:t>文化保护传承利用工程专项</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1.政策依据</w:t>
      </w:r>
    </w:p>
    <w:p>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rPr>
        <w:t>国家发展改革委等部门《关于修订印发</w:t>
      </w:r>
      <w:r>
        <w:rPr>
          <w:rFonts w:hint="eastAsia" w:ascii="Times New Roman" w:hAnsi="Times New Roman" w:eastAsia="仿宋_GB2312" w:cs="Times New Roman"/>
          <w:color w:val="auto"/>
          <w:sz w:val="32"/>
          <w:highlight w:val="none"/>
          <w:lang w:val="en-US" w:eastAsia="zh-CN"/>
        </w:rPr>
        <w:t>&lt;</w:t>
      </w:r>
      <w:r>
        <w:rPr>
          <w:rFonts w:hint="default" w:ascii="Times New Roman" w:hAnsi="Times New Roman" w:eastAsia="仿宋_GB2312" w:cs="Times New Roman"/>
          <w:color w:val="auto"/>
          <w:sz w:val="32"/>
          <w:highlight w:val="none"/>
        </w:rPr>
        <w:t>文化保护传承利用工程实施方案</w:t>
      </w:r>
      <w:r>
        <w:rPr>
          <w:rFonts w:hint="eastAsia" w:ascii="Times New Roman" w:hAnsi="Times New Roman" w:eastAsia="仿宋_GB2312" w:cs="Times New Roman"/>
          <w:color w:val="auto"/>
          <w:sz w:val="32"/>
          <w:highlight w:val="none"/>
          <w:lang w:val="en-US" w:eastAsia="zh-CN"/>
        </w:rPr>
        <w:t>&gt;</w:t>
      </w:r>
      <w:r>
        <w:rPr>
          <w:rFonts w:hint="default" w:ascii="Times New Roman" w:hAnsi="Times New Roman" w:eastAsia="仿宋_GB2312" w:cs="Times New Roman"/>
          <w:color w:val="auto"/>
          <w:sz w:val="32"/>
          <w:highlight w:val="none"/>
        </w:rPr>
        <w:t>的通知》</w:t>
      </w:r>
      <w:r>
        <w:rPr>
          <w:rFonts w:hint="default" w:ascii="Times New Roman" w:hAnsi="Times New Roman" w:eastAsia="仿宋_GB2312" w:cs="Times New Roman"/>
          <w:color w:val="auto"/>
          <w:sz w:val="32"/>
          <w:highlight w:val="none"/>
          <w:lang w:val="en"/>
        </w:rPr>
        <w:t>（</w:t>
      </w:r>
      <w:r>
        <w:rPr>
          <w:rFonts w:hint="default" w:ascii="Times New Roman" w:hAnsi="Times New Roman" w:eastAsia="仿宋_GB2312" w:cs="Times New Roman"/>
          <w:color w:val="auto"/>
          <w:sz w:val="32"/>
          <w:highlight w:val="none"/>
          <w:lang w:val="en-US" w:eastAsia="zh-CN"/>
        </w:rPr>
        <w:t>发改社会〔2024〕374号</w:t>
      </w:r>
      <w:r>
        <w:rPr>
          <w:rFonts w:hint="default" w:ascii="Times New Roman" w:hAnsi="Times New Roman" w:eastAsia="仿宋_GB2312" w:cs="Times New Roman"/>
          <w:color w:val="auto"/>
          <w:sz w:val="32"/>
          <w:highlight w:val="none"/>
          <w:lang w:val="en"/>
        </w:rPr>
        <w:t>）</w:t>
      </w:r>
      <w:r>
        <w:rPr>
          <w:rFonts w:hint="default" w:ascii="Times New Roman" w:hAnsi="Times New Roman" w:eastAsia="仿宋_GB2312" w:cs="Times New Roman"/>
          <w:color w:val="auto"/>
          <w:sz w:val="32"/>
          <w:highlight w:val="none"/>
          <w:lang w:eastAsia="zh-CN"/>
        </w:rPr>
        <w:t>；国家发展改革委</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eastAsia="zh-CN"/>
        </w:rPr>
        <w:t>关于修订印发社会领域中央预算内投资相关专项管理办法的通知</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eastAsia="zh-CN"/>
        </w:rPr>
        <w:t>（发改社会规〔2024〕284号）。</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2.支持范围</w:t>
      </w:r>
    </w:p>
    <w:p>
      <w:pPr>
        <w:pStyle w:val="6"/>
        <w:keepNext w:val="0"/>
        <w:keepLines w:val="0"/>
        <w:pageBreakBefore w:val="0"/>
        <w:kinsoku/>
        <w:wordWrap/>
        <w:overflowPunct/>
        <w:topLinePunct w:val="0"/>
        <w:autoSpaceDE/>
        <w:autoSpaceDN/>
        <w:bidi w:val="0"/>
        <w:adjustRightInd/>
        <w:snapToGrid/>
        <w:spacing w:line="540" w:lineRule="exact"/>
        <w:ind w:leftChars="0" w:firstLine="643"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b/>
          <w:bCs/>
          <w:color w:val="auto"/>
          <w:sz w:val="32"/>
          <w:highlight w:val="none"/>
          <w:lang w:val="en-US" w:eastAsia="zh-CN"/>
        </w:rPr>
        <w:t>（1）国家级文化遗产保护传承。</w:t>
      </w:r>
      <w:r>
        <w:rPr>
          <w:rFonts w:hint="default" w:ascii="Times New Roman" w:hAnsi="Times New Roman" w:eastAsia="仿宋_GB2312" w:cs="Times New Roman"/>
          <w:color w:val="auto"/>
          <w:sz w:val="32"/>
          <w:highlight w:val="none"/>
          <w:lang w:val="en-US" w:eastAsia="zh-CN"/>
        </w:rPr>
        <w:t>包括历史文化名城和街区</w:t>
      </w:r>
      <w:r>
        <w:rPr>
          <w:rFonts w:hint="eastAsia" w:ascii="Times New Roman" w:hAnsi="Times New Roman" w:eastAsia="仿宋_GB2312" w:cs="Times New Roman"/>
          <w:color w:val="auto"/>
          <w:sz w:val="32"/>
          <w:highlight w:val="none"/>
          <w:lang w:val="en-US" w:eastAsia="zh-CN"/>
        </w:rPr>
        <w:t>等</w:t>
      </w:r>
      <w:r>
        <w:rPr>
          <w:rFonts w:hint="default" w:ascii="Times New Roman" w:hAnsi="Times New Roman" w:eastAsia="仿宋_GB2312" w:cs="Times New Roman"/>
          <w:color w:val="auto"/>
          <w:sz w:val="32"/>
          <w:highlight w:val="none"/>
          <w:lang w:val="en-US" w:eastAsia="zh-CN"/>
        </w:rPr>
        <w:t>保护提升、国家重点文物保护</w:t>
      </w:r>
      <w:r>
        <w:rPr>
          <w:rFonts w:hint="eastAsia" w:ascii="Times New Roman" w:hAnsi="Times New Roman" w:eastAsia="仿宋_GB2312" w:cs="Times New Roman"/>
          <w:color w:val="auto"/>
          <w:sz w:val="32"/>
          <w:highlight w:val="none"/>
          <w:lang w:val="en-US" w:eastAsia="zh-CN"/>
        </w:rPr>
        <w:t>利用</w:t>
      </w:r>
      <w:r>
        <w:rPr>
          <w:rFonts w:hint="default" w:ascii="Times New Roman" w:hAnsi="Times New Roman" w:eastAsia="仿宋_GB2312" w:cs="Times New Roman"/>
          <w:color w:val="auto"/>
          <w:sz w:val="32"/>
          <w:highlight w:val="none"/>
          <w:lang w:val="en-US" w:eastAsia="zh-CN"/>
        </w:rPr>
        <w:t>和考古发掘、重点地区考古标本库房建设</w:t>
      </w:r>
      <w:r>
        <w:rPr>
          <w:rFonts w:hint="eastAsia" w:ascii="Times New Roman" w:hAnsi="Times New Roman" w:eastAsia="仿宋_GB2312" w:cs="Times New Roman"/>
          <w:color w:val="auto"/>
          <w:sz w:val="32"/>
          <w:highlight w:val="none"/>
          <w:lang w:val="en-US" w:eastAsia="zh-CN"/>
        </w:rPr>
        <w:t>，综合性国家级非物质文化遗产传承展示。</w:t>
      </w:r>
    </w:p>
    <w:p>
      <w:pPr>
        <w:pStyle w:val="6"/>
        <w:keepNext w:val="0"/>
        <w:keepLines w:val="0"/>
        <w:pageBreakBefore w:val="0"/>
        <w:kinsoku/>
        <w:wordWrap/>
        <w:overflowPunct/>
        <w:topLinePunct w:val="0"/>
        <w:autoSpaceDE/>
        <w:autoSpaceDN/>
        <w:bidi w:val="0"/>
        <w:adjustRightInd/>
        <w:snapToGrid/>
        <w:spacing w:line="540" w:lineRule="exact"/>
        <w:ind w:leftChars="0" w:firstLine="643"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b/>
          <w:bCs/>
          <w:color w:val="auto"/>
          <w:sz w:val="32"/>
          <w:highlight w:val="none"/>
          <w:lang w:val="en-US" w:eastAsia="zh-CN"/>
        </w:rPr>
        <w:t>（2）国家级自然遗产保护展示。</w:t>
      </w:r>
      <w:r>
        <w:rPr>
          <w:rFonts w:hint="default" w:ascii="Times New Roman" w:hAnsi="Times New Roman" w:eastAsia="仿宋_GB2312" w:cs="Times New Roman"/>
          <w:color w:val="auto"/>
          <w:sz w:val="32"/>
          <w:highlight w:val="none"/>
          <w:lang w:val="en-US" w:eastAsia="zh-CN"/>
        </w:rPr>
        <w:t>包括国家公园等自然科普设施建设、重要自然遗产地保护展示。</w:t>
      </w:r>
    </w:p>
    <w:p>
      <w:pPr>
        <w:pStyle w:val="6"/>
        <w:keepNext w:val="0"/>
        <w:keepLines w:val="0"/>
        <w:pageBreakBefore w:val="0"/>
        <w:kinsoku/>
        <w:wordWrap/>
        <w:overflowPunct/>
        <w:topLinePunct w:val="0"/>
        <w:autoSpaceDE/>
        <w:autoSpaceDN/>
        <w:bidi w:val="0"/>
        <w:adjustRightInd/>
        <w:snapToGrid/>
        <w:spacing w:line="540" w:lineRule="exact"/>
        <w:ind w:leftChars="0" w:firstLine="643"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b/>
          <w:bCs/>
          <w:color w:val="auto"/>
          <w:sz w:val="32"/>
          <w:highlight w:val="none"/>
          <w:lang w:val="en-US" w:eastAsia="zh-CN"/>
        </w:rPr>
        <w:t>（3）中华民族现代文明展示</w:t>
      </w:r>
      <w:r>
        <w:rPr>
          <w:rFonts w:hint="default" w:ascii="Times New Roman" w:hAnsi="Times New Roman" w:eastAsia="仿宋_GB2312" w:cs="Times New Roman"/>
          <w:color w:val="auto"/>
          <w:sz w:val="32"/>
          <w:highlight w:val="none"/>
          <w:lang w:val="en-US" w:eastAsia="zh-CN"/>
        </w:rPr>
        <w:t>。包括大国重器配套宣教设施建设、重大公共文化设施建设。</w:t>
      </w:r>
    </w:p>
    <w:p>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楷体_GB2312" w:cs="Times New Roman"/>
          <w:b/>
          <w:bCs/>
          <w:color w:val="auto"/>
          <w:sz w:val="32"/>
          <w:szCs w:val="32"/>
          <w:highlight w:val="none"/>
          <w:lang w:eastAsia="zh-CN"/>
        </w:rPr>
      </w:pPr>
      <w:r>
        <w:rPr>
          <w:rFonts w:hint="eastAsia" w:ascii="Times New Roman" w:hAnsi="Times New Roman" w:eastAsia="楷体_GB2312" w:cs="Times New Roman"/>
          <w:b/>
          <w:bCs/>
          <w:color w:val="auto"/>
          <w:sz w:val="32"/>
          <w:szCs w:val="32"/>
          <w:highlight w:val="none"/>
          <w:lang w:val="en-US" w:eastAsia="zh-CN"/>
        </w:rPr>
        <w:t>3.</w:t>
      </w:r>
      <w:r>
        <w:rPr>
          <w:rFonts w:hint="eastAsia" w:ascii="Times New Roman" w:hAnsi="Times New Roman" w:eastAsia="楷体_GB2312" w:cs="Times New Roman"/>
          <w:b/>
          <w:bCs/>
          <w:color w:val="auto"/>
          <w:sz w:val="32"/>
          <w:szCs w:val="32"/>
          <w:highlight w:val="none"/>
          <w:lang w:eastAsia="zh-CN"/>
        </w:rPr>
        <w:t>支持比例</w:t>
      </w:r>
    </w:p>
    <w:p>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原则上按照不超过核定总投资</w:t>
      </w:r>
      <w:r>
        <w:rPr>
          <w:rFonts w:hint="default" w:ascii="Times New Roman" w:hAnsi="Times New Roman" w:eastAsia="仿宋_GB2312" w:cs="Times New Roman"/>
          <w:color w:val="auto"/>
          <w:sz w:val="32"/>
          <w:highlight w:val="none"/>
          <w:lang w:val="en"/>
        </w:rPr>
        <w:t>（</w:t>
      </w:r>
      <w:r>
        <w:rPr>
          <w:rFonts w:hint="default" w:ascii="Times New Roman" w:hAnsi="Times New Roman" w:eastAsia="仿宋_GB2312" w:cs="Times New Roman"/>
          <w:color w:val="auto"/>
          <w:sz w:val="32"/>
          <w:highlight w:val="none"/>
        </w:rPr>
        <w:t>不含土地费用、市政费用</w:t>
      </w:r>
      <w:r>
        <w:rPr>
          <w:rFonts w:hint="default" w:ascii="Times New Roman" w:hAnsi="Times New Roman" w:eastAsia="仿宋_GB2312" w:cs="Times New Roman"/>
          <w:color w:val="auto"/>
          <w:sz w:val="32"/>
          <w:highlight w:val="none"/>
          <w:lang w:val="en"/>
        </w:rPr>
        <w:t>,</w:t>
      </w:r>
      <w:r>
        <w:rPr>
          <w:rFonts w:hint="default" w:ascii="Times New Roman" w:hAnsi="Times New Roman" w:eastAsia="仿宋_GB2312" w:cs="Times New Roman"/>
          <w:color w:val="auto"/>
          <w:sz w:val="32"/>
          <w:highlight w:val="none"/>
        </w:rPr>
        <w:t>仅为工程建设投资,下同</w:t>
      </w:r>
      <w:r>
        <w:rPr>
          <w:rFonts w:hint="default" w:ascii="Times New Roman" w:hAnsi="Times New Roman" w:eastAsia="仿宋_GB2312" w:cs="Times New Roman"/>
          <w:color w:val="auto"/>
          <w:sz w:val="32"/>
          <w:highlight w:val="none"/>
          <w:lang w:val="en"/>
        </w:rPr>
        <w:t>）</w:t>
      </w:r>
      <w:r>
        <w:rPr>
          <w:rFonts w:hint="default" w:ascii="Times New Roman" w:hAnsi="Times New Roman" w:eastAsia="仿宋_GB2312" w:cs="Times New Roman"/>
          <w:color w:val="auto"/>
          <w:sz w:val="32"/>
          <w:highlight w:val="none"/>
        </w:rPr>
        <w:t>60%</w:t>
      </w:r>
      <w:r>
        <w:rPr>
          <w:rFonts w:hint="eastAsia" w:ascii="Times New Roman" w:hAnsi="Times New Roman" w:eastAsia="仿宋_GB2312" w:cs="Times New Roman"/>
          <w:color w:val="auto"/>
          <w:sz w:val="32"/>
          <w:highlight w:val="none"/>
          <w:lang w:eastAsia="zh-CN"/>
        </w:rPr>
        <w:t>的</w:t>
      </w:r>
      <w:r>
        <w:rPr>
          <w:rFonts w:hint="default" w:ascii="Times New Roman" w:hAnsi="Times New Roman" w:eastAsia="仿宋_GB2312" w:cs="Times New Roman"/>
          <w:color w:val="auto"/>
          <w:sz w:val="32"/>
          <w:highlight w:val="none"/>
        </w:rPr>
        <w:t>比例</w:t>
      </w:r>
      <w:r>
        <w:rPr>
          <w:rFonts w:hint="eastAsia" w:ascii="Times New Roman" w:hAnsi="Times New Roman" w:eastAsia="仿宋_GB2312" w:cs="Times New Roman"/>
          <w:color w:val="auto"/>
          <w:sz w:val="32"/>
          <w:highlight w:val="none"/>
          <w:lang w:eastAsia="zh-CN"/>
        </w:rPr>
        <w:t>进行</w:t>
      </w:r>
      <w:r>
        <w:rPr>
          <w:rFonts w:hint="default" w:ascii="Times New Roman" w:hAnsi="Times New Roman" w:eastAsia="仿宋_GB2312" w:cs="Times New Roman"/>
          <w:color w:val="auto"/>
          <w:sz w:val="32"/>
          <w:highlight w:val="none"/>
        </w:rPr>
        <w:t>支持。</w:t>
      </w:r>
      <w:r>
        <w:rPr>
          <w:rFonts w:hint="eastAsia" w:ascii="Times New Roman" w:hAnsi="Times New Roman" w:eastAsia="仿宋_GB2312" w:cs="Times New Roman"/>
          <w:color w:val="auto"/>
          <w:sz w:val="32"/>
          <w:highlight w:val="none"/>
          <w:lang w:eastAsia="zh-CN"/>
        </w:rPr>
        <w:t>单个项目中央预算内投资最高支持限额如下：</w:t>
      </w:r>
    </w:p>
    <w:p>
      <w:pPr>
        <w:pStyle w:val="6"/>
        <w:keepNext w:val="0"/>
        <w:keepLines w:val="0"/>
        <w:pageBreakBefore w:val="0"/>
        <w:kinsoku/>
        <w:wordWrap/>
        <w:overflowPunct/>
        <w:topLinePunct w:val="0"/>
        <w:autoSpaceDE/>
        <w:autoSpaceDN/>
        <w:bidi w:val="0"/>
        <w:adjustRightInd/>
        <w:snapToGrid/>
        <w:spacing w:line="540" w:lineRule="exact"/>
        <w:ind w:leftChars="0" w:firstLine="643"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b/>
          <w:bCs/>
          <w:color w:val="auto"/>
          <w:sz w:val="32"/>
          <w:highlight w:val="none"/>
          <w:lang w:val="en-US" w:eastAsia="zh-CN"/>
        </w:rPr>
        <w:t>（1）国家级文化遗产保护传承。</w:t>
      </w:r>
      <w:r>
        <w:rPr>
          <w:rFonts w:hint="default" w:ascii="Times New Roman" w:hAnsi="Times New Roman" w:eastAsia="仿宋_GB2312" w:cs="Times New Roman"/>
          <w:color w:val="auto"/>
          <w:sz w:val="32"/>
          <w:highlight w:val="none"/>
          <w:lang w:val="en-US" w:eastAsia="zh-CN"/>
        </w:rPr>
        <w:t>历史文化名城和街区等保护提升</w:t>
      </w:r>
      <w:r>
        <w:rPr>
          <w:rFonts w:hint="eastAsia" w:ascii="Times New Roman" w:hAnsi="Times New Roman" w:eastAsia="仿宋_GB2312" w:cs="Times New Roman"/>
          <w:color w:val="auto"/>
          <w:sz w:val="32"/>
          <w:highlight w:val="none"/>
          <w:lang w:val="en-US" w:eastAsia="zh-CN"/>
        </w:rPr>
        <w:t>项目</w:t>
      </w:r>
      <w:r>
        <w:rPr>
          <w:rFonts w:hint="default" w:ascii="Times New Roman" w:hAnsi="Times New Roman" w:eastAsia="仿宋_GB2312" w:cs="Times New Roman"/>
          <w:b w:val="0"/>
          <w:bCs w:val="0"/>
          <w:color w:val="auto"/>
          <w:sz w:val="32"/>
          <w:highlight w:val="none"/>
          <w:lang w:eastAsia="zh-CN"/>
        </w:rPr>
        <w:t>的支持上限为</w:t>
      </w:r>
      <w:r>
        <w:rPr>
          <w:rFonts w:hint="eastAsia" w:ascii="Times New Roman" w:hAnsi="Times New Roman" w:eastAsia="仿宋_GB2312" w:cs="Times New Roman"/>
          <w:b w:val="0"/>
          <w:bCs w:val="0"/>
          <w:color w:val="auto"/>
          <w:sz w:val="32"/>
          <w:highlight w:val="none"/>
          <w:lang w:val="en-US" w:eastAsia="zh-CN"/>
        </w:rPr>
        <w:t>2</w:t>
      </w:r>
      <w:r>
        <w:rPr>
          <w:rFonts w:hint="default" w:ascii="Times New Roman" w:hAnsi="Times New Roman" w:eastAsia="仿宋_GB2312" w:cs="Times New Roman"/>
          <w:b w:val="0"/>
          <w:bCs w:val="0"/>
          <w:color w:val="auto"/>
          <w:sz w:val="32"/>
          <w:highlight w:val="none"/>
          <w:lang w:val="en-US" w:eastAsia="zh-CN"/>
        </w:rPr>
        <w:t>亿元</w:t>
      </w:r>
      <w:r>
        <w:rPr>
          <w:rFonts w:hint="default" w:ascii="Times New Roman" w:hAnsi="Times New Roman" w:eastAsia="仿宋_GB2312" w:cs="Times New Roman"/>
          <w:color w:val="auto"/>
          <w:sz w:val="32"/>
          <w:highlight w:val="none"/>
          <w:lang w:val="en-US" w:eastAsia="zh-CN"/>
        </w:rPr>
        <w:t>、国家重点文物保护利用和考古发掘</w:t>
      </w:r>
      <w:r>
        <w:rPr>
          <w:rFonts w:hint="eastAsia" w:ascii="Times New Roman" w:hAnsi="Times New Roman" w:eastAsia="仿宋_GB2312" w:cs="Times New Roman"/>
          <w:color w:val="auto"/>
          <w:sz w:val="32"/>
          <w:highlight w:val="none"/>
          <w:lang w:val="en-US" w:eastAsia="zh-CN"/>
        </w:rPr>
        <w:t>项目</w:t>
      </w:r>
      <w:r>
        <w:rPr>
          <w:rFonts w:hint="default" w:ascii="Times New Roman" w:hAnsi="Times New Roman" w:eastAsia="仿宋_GB2312" w:cs="Times New Roman"/>
          <w:b w:val="0"/>
          <w:bCs w:val="0"/>
          <w:color w:val="auto"/>
          <w:sz w:val="32"/>
          <w:highlight w:val="none"/>
          <w:lang w:eastAsia="zh-CN"/>
        </w:rPr>
        <w:t>的支持上限为</w:t>
      </w:r>
      <w:r>
        <w:rPr>
          <w:rFonts w:hint="eastAsia" w:ascii="Times New Roman" w:hAnsi="Times New Roman" w:eastAsia="仿宋_GB2312" w:cs="Times New Roman"/>
          <w:b w:val="0"/>
          <w:bCs w:val="0"/>
          <w:color w:val="auto"/>
          <w:sz w:val="32"/>
          <w:highlight w:val="none"/>
          <w:lang w:val="en-US" w:eastAsia="zh-CN"/>
        </w:rPr>
        <w:t>3</w:t>
      </w:r>
      <w:r>
        <w:rPr>
          <w:rFonts w:hint="default" w:ascii="Times New Roman" w:hAnsi="Times New Roman" w:eastAsia="仿宋_GB2312" w:cs="Times New Roman"/>
          <w:b w:val="0"/>
          <w:bCs w:val="0"/>
          <w:color w:val="auto"/>
          <w:sz w:val="32"/>
          <w:highlight w:val="none"/>
          <w:lang w:val="en-US" w:eastAsia="zh-CN"/>
        </w:rPr>
        <w:t>亿元</w:t>
      </w:r>
      <w:r>
        <w:rPr>
          <w:rFonts w:hint="eastAsia" w:ascii="Times New Roman" w:hAnsi="Times New Roman" w:eastAsia="仿宋_GB2312" w:cs="Times New Roman"/>
          <w:b w:val="0"/>
          <w:bCs w:val="0"/>
          <w:color w:val="auto"/>
          <w:sz w:val="32"/>
          <w:highlight w:val="none"/>
          <w:lang w:val="en-US" w:eastAsia="zh-CN"/>
        </w:rPr>
        <w:t>、</w:t>
      </w:r>
      <w:r>
        <w:rPr>
          <w:rFonts w:hint="default" w:ascii="Times New Roman" w:hAnsi="Times New Roman" w:eastAsia="仿宋_GB2312" w:cs="Times New Roman"/>
          <w:color w:val="auto"/>
          <w:sz w:val="32"/>
          <w:highlight w:val="none"/>
          <w:lang w:val="en-US" w:eastAsia="zh-CN"/>
        </w:rPr>
        <w:t>重点地区考古标本库房建设</w:t>
      </w:r>
      <w:r>
        <w:rPr>
          <w:rFonts w:hint="eastAsia" w:ascii="Times New Roman" w:hAnsi="Times New Roman" w:eastAsia="仿宋_GB2312" w:cs="Times New Roman"/>
          <w:color w:val="auto"/>
          <w:sz w:val="32"/>
          <w:highlight w:val="none"/>
          <w:lang w:val="en-US" w:eastAsia="zh-CN"/>
        </w:rPr>
        <w:t>项目</w:t>
      </w:r>
      <w:r>
        <w:rPr>
          <w:rFonts w:hint="default" w:ascii="Times New Roman" w:hAnsi="Times New Roman" w:eastAsia="仿宋_GB2312" w:cs="Times New Roman"/>
          <w:b w:val="0"/>
          <w:bCs w:val="0"/>
          <w:color w:val="auto"/>
          <w:sz w:val="32"/>
          <w:highlight w:val="none"/>
          <w:lang w:eastAsia="zh-CN"/>
        </w:rPr>
        <w:t>的支持上限为</w:t>
      </w:r>
      <w:r>
        <w:rPr>
          <w:rFonts w:hint="eastAsia" w:ascii="Times New Roman" w:hAnsi="Times New Roman" w:eastAsia="仿宋_GB2312" w:cs="Times New Roman"/>
          <w:b w:val="0"/>
          <w:bCs w:val="0"/>
          <w:color w:val="auto"/>
          <w:sz w:val="32"/>
          <w:highlight w:val="none"/>
          <w:lang w:val="en-US" w:eastAsia="zh-CN"/>
        </w:rPr>
        <w:t>5000万</w:t>
      </w:r>
      <w:r>
        <w:rPr>
          <w:rFonts w:hint="default" w:ascii="Times New Roman" w:hAnsi="Times New Roman" w:eastAsia="仿宋_GB2312" w:cs="Times New Roman"/>
          <w:b w:val="0"/>
          <w:bCs w:val="0"/>
          <w:color w:val="auto"/>
          <w:sz w:val="32"/>
          <w:highlight w:val="none"/>
          <w:lang w:val="en-US" w:eastAsia="zh-CN"/>
        </w:rPr>
        <w:t>元</w:t>
      </w:r>
      <w:r>
        <w:rPr>
          <w:rFonts w:hint="eastAsia" w:ascii="Times New Roman" w:hAnsi="Times New Roman" w:eastAsia="仿宋_GB2312" w:cs="Times New Roman"/>
          <w:b w:val="0"/>
          <w:bCs w:val="0"/>
          <w:color w:val="auto"/>
          <w:sz w:val="32"/>
          <w:highlight w:val="none"/>
          <w:lang w:val="en-US" w:eastAsia="zh-CN"/>
        </w:rPr>
        <w:t>、</w:t>
      </w:r>
      <w:r>
        <w:rPr>
          <w:rFonts w:hint="default" w:ascii="Times New Roman" w:hAnsi="Times New Roman" w:eastAsia="仿宋_GB2312" w:cs="Times New Roman"/>
          <w:color w:val="auto"/>
          <w:sz w:val="32"/>
          <w:highlight w:val="none"/>
          <w:lang w:val="en-US" w:eastAsia="zh-CN"/>
        </w:rPr>
        <w:t>综合性国家级非物质文化遗产传承展示</w:t>
      </w:r>
      <w:r>
        <w:rPr>
          <w:rFonts w:hint="eastAsia" w:ascii="Times New Roman" w:hAnsi="Times New Roman" w:eastAsia="仿宋_GB2312" w:cs="Times New Roman"/>
          <w:color w:val="auto"/>
          <w:sz w:val="32"/>
          <w:highlight w:val="none"/>
          <w:lang w:val="en-US" w:eastAsia="zh-CN"/>
        </w:rPr>
        <w:t>项目</w:t>
      </w:r>
      <w:r>
        <w:rPr>
          <w:rFonts w:hint="default" w:ascii="Times New Roman" w:hAnsi="Times New Roman" w:eastAsia="仿宋_GB2312" w:cs="Times New Roman"/>
          <w:b w:val="0"/>
          <w:bCs w:val="0"/>
          <w:color w:val="auto"/>
          <w:sz w:val="32"/>
          <w:highlight w:val="none"/>
          <w:lang w:eastAsia="zh-CN"/>
        </w:rPr>
        <w:t>的支持上限为</w:t>
      </w:r>
      <w:r>
        <w:rPr>
          <w:rFonts w:hint="eastAsia" w:ascii="Times New Roman" w:hAnsi="Times New Roman" w:eastAsia="仿宋_GB2312" w:cs="Times New Roman"/>
          <w:b w:val="0"/>
          <w:bCs w:val="0"/>
          <w:color w:val="auto"/>
          <w:sz w:val="32"/>
          <w:highlight w:val="none"/>
          <w:lang w:val="en-US" w:eastAsia="zh-CN"/>
        </w:rPr>
        <w:t>1</w:t>
      </w:r>
      <w:r>
        <w:rPr>
          <w:rFonts w:hint="default" w:ascii="Times New Roman" w:hAnsi="Times New Roman" w:eastAsia="仿宋_GB2312" w:cs="Times New Roman"/>
          <w:b w:val="0"/>
          <w:bCs w:val="0"/>
          <w:color w:val="auto"/>
          <w:sz w:val="32"/>
          <w:highlight w:val="none"/>
          <w:lang w:val="en-US" w:eastAsia="zh-CN"/>
        </w:rPr>
        <w:t>亿元</w:t>
      </w:r>
      <w:r>
        <w:rPr>
          <w:rFonts w:hint="eastAsia" w:ascii="Times New Roman" w:hAnsi="Times New Roman" w:eastAsia="仿宋_GB2312" w:cs="Times New Roman"/>
          <w:b w:val="0"/>
          <w:bCs w:val="0"/>
          <w:color w:val="auto"/>
          <w:sz w:val="32"/>
          <w:highlight w:val="none"/>
          <w:lang w:val="en-US" w:eastAsia="zh-CN"/>
        </w:rPr>
        <w:t>。</w:t>
      </w:r>
    </w:p>
    <w:p>
      <w:pPr>
        <w:pStyle w:val="6"/>
        <w:keepNext w:val="0"/>
        <w:keepLines w:val="0"/>
        <w:pageBreakBefore w:val="0"/>
        <w:kinsoku/>
        <w:wordWrap/>
        <w:overflowPunct/>
        <w:topLinePunct w:val="0"/>
        <w:autoSpaceDE/>
        <w:autoSpaceDN/>
        <w:bidi w:val="0"/>
        <w:adjustRightInd/>
        <w:snapToGrid/>
        <w:spacing w:line="540" w:lineRule="exact"/>
        <w:ind w:leftChars="0" w:firstLine="643"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b/>
          <w:bCs/>
          <w:color w:val="auto"/>
          <w:sz w:val="32"/>
          <w:highlight w:val="none"/>
          <w:lang w:val="en-US" w:eastAsia="zh-CN"/>
        </w:rPr>
        <w:t>（2）国家级自然遗产保护展示。</w:t>
      </w:r>
      <w:r>
        <w:rPr>
          <w:rFonts w:hint="default" w:ascii="Times New Roman" w:hAnsi="Times New Roman" w:eastAsia="仿宋_GB2312" w:cs="Times New Roman"/>
          <w:color w:val="auto"/>
          <w:sz w:val="32"/>
          <w:highlight w:val="none"/>
          <w:lang w:val="en-US" w:eastAsia="zh-CN"/>
        </w:rPr>
        <w:t>国家公园等自然科普设施建设</w:t>
      </w:r>
      <w:r>
        <w:rPr>
          <w:rFonts w:hint="eastAsia" w:ascii="Times New Roman" w:hAnsi="Times New Roman" w:eastAsia="仿宋_GB2312" w:cs="Times New Roman"/>
          <w:color w:val="auto"/>
          <w:sz w:val="32"/>
          <w:highlight w:val="none"/>
          <w:lang w:val="en-US" w:eastAsia="zh-CN"/>
        </w:rPr>
        <w:t>项目</w:t>
      </w:r>
      <w:r>
        <w:rPr>
          <w:rFonts w:hint="default" w:ascii="Times New Roman" w:hAnsi="Times New Roman" w:eastAsia="仿宋_GB2312" w:cs="Times New Roman"/>
          <w:b w:val="0"/>
          <w:bCs w:val="0"/>
          <w:color w:val="auto"/>
          <w:sz w:val="32"/>
          <w:highlight w:val="none"/>
          <w:lang w:eastAsia="zh-CN"/>
        </w:rPr>
        <w:t>的支持上限为</w:t>
      </w:r>
      <w:r>
        <w:rPr>
          <w:rFonts w:hint="eastAsia" w:ascii="Times New Roman" w:hAnsi="Times New Roman" w:eastAsia="仿宋_GB2312" w:cs="Times New Roman"/>
          <w:b w:val="0"/>
          <w:bCs w:val="0"/>
          <w:color w:val="auto"/>
          <w:sz w:val="32"/>
          <w:highlight w:val="none"/>
          <w:lang w:val="en-US" w:eastAsia="zh-CN"/>
        </w:rPr>
        <w:t>3</w:t>
      </w:r>
      <w:r>
        <w:rPr>
          <w:rFonts w:hint="default" w:ascii="Times New Roman" w:hAnsi="Times New Roman" w:eastAsia="仿宋_GB2312" w:cs="Times New Roman"/>
          <w:b w:val="0"/>
          <w:bCs w:val="0"/>
          <w:color w:val="auto"/>
          <w:sz w:val="32"/>
          <w:highlight w:val="none"/>
          <w:lang w:val="en-US" w:eastAsia="zh-CN"/>
        </w:rPr>
        <w:t>亿元</w:t>
      </w:r>
      <w:r>
        <w:rPr>
          <w:rFonts w:hint="default" w:ascii="Times New Roman" w:hAnsi="Times New Roman" w:eastAsia="仿宋_GB2312" w:cs="Times New Roman"/>
          <w:color w:val="auto"/>
          <w:sz w:val="32"/>
          <w:highlight w:val="none"/>
          <w:lang w:val="en-US" w:eastAsia="zh-CN"/>
        </w:rPr>
        <w:t>、重要自然遗产地保护展示</w:t>
      </w:r>
      <w:r>
        <w:rPr>
          <w:rFonts w:hint="eastAsia" w:ascii="Times New Roman" w:hAnsi="Times New Roman" w:eastAsia="仿宋_GB2312" w:cs="Times New Roman"/>
          <w:color w:val="auto"/>
          <w:sz w:val="32"/>
          <w:highlight w:val="none"/>
          <w:lang w:val="en-US" w:eastAsia="zh-CN"/>
        </w:rPr>
        <w:t>项目</w:t>
      </w:r>
      <w:r>
        <w:rPr>
          <w:rFonts w:hint="default" w:ascii="Times New Roman" w:hAnsi="Times New Roman" w:eastAsia="仿宋_GB2312" w:cs="Times New Roman"/>
          <w:b w:val="0"/>
          <w:bCs w:val="0"/>
          <w:color w:val="auto"/>
          <w:sz w:val="32"/>
          <w:highlight w:val="none"/>
          <w:lang w:eastAsia="zh-CN"/>
        </w:rPr>
        <w:t>的支持上限为</w:t>
      </w:r>
      <w:r>
        <w:rPr>
          <w:rFonts w:hint="eastAsia" w:ascii="Times New Roman" w:hAnsi="Times New Roman" w:eastAsia="仿宋_GB2312" w:cs="Times New Roman"/>
          <w:b w:val="0"/>
          <w:bCs w:val="0"/>
          <w:color w:val="auto"/>
          <w:sz w:val="32"/>
          <w:highlight w:val="none"/>
          <w:lang w:val="en-US" w:eastAsia="zh-CN"/>
        </w:rPr>
        <w:t>5000万</w:t>
      </w:r>
      <w:r>
        <w:rPr>
          <w:rFonts w:hint="default" w:ascii="Times New Roman" w:hAnsi="Times New Roman" w:eastAsia="仿宋_GB2312" w:cs="Times New Roman"/>
          <w:b w:val="0"/>
          <w:bCs w:val="0"/>
          <w:color w:val="auto"/>
          <w:sz w:val="32"/>
          <w:highlight w:val="none"/>
          <w:lang w:val="en-US" w:eastAsia="zh-CN"/>
        </w:rPr>
        <w:t>元</w:t>
      </w:r>
      <w:r>
        <w:rPr>
          <w:rFonts w:hint="eastAsia" w:ascii="Times New Roman" w:hAnsi="Times New Roman" w:eastAsia="仿宋_GB2312" w:cs="Times New Roman"/>
          <w:b w:val="0"/>
          <w:bCs w:val="0"/>
          <w:color w:val="auto"/>
          <w:sz w:val="32"/>
          <w:highlight w:val="none"/>
          <w:lang w:val="en-US" w:eastAsia="zh-CN"/>
        </w:rPr>
        <w:t>。</w:t>
      </w:r>
    </w:p>
    <w:p>
      <w:pPr>
        <w:pStyle w:val="6"/>
        <w:keepNext w:val="0"/>
        <w:keepLines w:val="0"/>
        <w:pageBreakBefore w:val="0"/>
        <w:kinsoku/>
        <w:wordWrap/>
        <w:overflowPunct/>
        <w:topLinePunct w:val="0"/>
        <w:autoSpaceDE/>
        <w:autoSpaceDN/>
        <w:bidi w:val="0"/>
        <w:adjustRightInd/>
        <w:snapToGrid/>
        <w:spacing w:line="540" w:lineRule="exact"/>
        <w:ind w:leftChars="0" w:firstLine="643"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
          <w:bCs/>
          <w:color w:val="auto"/>
          <w:sz w:val="32"/>
          <w:highlight w:val="none"/>
          <w:lang w:val="en-US" w:eastAsia="zh-CN"/>
        </w:rPr>
        <w:t>（3）中华民族现代文明展示</w:t>
      </w:r>
      <w:r>
        <w:rPr>
          <w:rFonts w:hint="default" w:ascii="Times New Roman" w:hAnsi="Times New Roman" w:eastAsia="仿宋_GB2312" w:cs="Times New Roman"/>
          <w:color w:val="auto"/>
          <w:sz w:val="32"/>
          <w:highlight w:val="none"/>
          <w:lang w:val="en-US" w:eastAsia="zh-CN"/>
        </w:rPr>
        <w:t>。大国重器配套宣教设施建设</w:t>
      </w:r>
      <w:r>
        <w:rPr>
          <w:rFonts w:hint="eastAsia" w:ascii="Times New Roman" w:hAnsi="Times New Roman" w:eastAsia="仿宋_GB2312" w:cs="Times New Roman"/>
          <w:color w:val="auto"/>
          <w:sz w:val="32"/>
          <w:highlight w:val="none"/>
          <w:lang w:val="en-US" w:eastAsia="zh-CN"/>
        </w:rPr>
        <w:t>项目</w:t>
      </w:r>
      <w:r>
        <w:rPr>
          <w:rFonts w:hint="default" w:ascii="Times New Roman" w:hAnsi="Times New Roman" w:eastAsia="仿宋_GB2312" w:cs="Times New Roman"/>
          <w:b w:val="0"/>
          <w:bCs w:val="0"/>
          <w:color w:val="auto"/>
          <w:sz w:val="32"/>
          <w:highlight w:val="none"/>
          <w:lang w:eastAsia="zh-CN"/>
        </w:rPr>
        <w:t>的支持上限为</w:t>
      </w:r>
      <w:r>
        <w:rPr>
          <w:rFonts w:hint="eastAsia" w:ascii="Times New Roman" w:hAnsi="Times New Roman" w:eastAsia="仿宋_GB2312" w:cs="Times New Roman"/>
          <w:b w:val="0"/>
          <w:bCs w:val="0"/>
          <w:color w:val="auto"/>
          <w:sz w:val="32"/>
          <w:highlight w:val="none"/>
          <w:lang w:val="en-US" w:eastAsia="zh-CN"/>
        </w:rPr>
        <w:t>3</w:t>
      </w:r>
      <w:r>
        <w:rPr>
          <w:rFonts w:hint="default" w:ascii="Times New Roman" w:hAnsi="Times New Roman" w:eastAsia="仿宋_GB2312" w:cs="Times New Roman"/>
          <w:b w:val="0"/>
          <w:bCs w:val="0"/>
          <w:color w:val="auto"/>
          <w:sz w:val="32"/>
          <w:highlight w:val="none"/>
          <w:lang w:val="en-US" w:eastAsia="zh-CN"/>
        </w:rPr>
        <w:t>亿元</w:t>
      </w:r>
      <w:r>
        <w:rPr>
          <w:rFonts w:hint="default" w:ascii="Times New Roman" w:hAnsi="Times New Roman" w:eastAsia="仿宋_GB2312" w:cs="Times New Roman"/>
          <w:color w:val="auto"/>
          <w:sz w:val="32"/>
          <w:highlight w:val="none"/>
          <w:lang w:val="en-US" w:eastAsia="zh-CN"/>
        </w:rPr>
        <w:t>、重大公共文化设施建设</w:t>
      </w:r>
      <w:r>
        <w:rPr>
          <w:rFonts w:hint="eastAsia" w:ascii="Times New Roman" w:hAnsi="Times New Roman" w:eastAsia="仿宋_GB2312" w:cs="Times New Roman"/>
          <w:color w:val="auto"/>
          <w:sz w:val="32"/>
          <w:highlight w:val="none"/>
          <w:lang w:val="en-US" w:eastAsia="zh-CN"/>
        </w:rPr>
        <w:t>项目</w:t>
      </w:r>
      <w:r>
        <w:rPr>
          <w:rFonts w:hint="default" w:ascii="Times New Roman" w:hAnsi="Times New Roman" w:eastAsia="仿宋_GB2312" w:cs="Times New Roman"/>
          <w:b w:val="0"/>
          <w:bCs w:val="0"/>
          <w:color w:val="auto"/>
          <w:sz w:val="32"/>
          <w:highlight w:val="none"/>
          <w:lang w:eastAsia="zh-CN"/>
        </w:rPr>
        <w:t>的支持上限为</w:t>
      </w:r>
      <w:r>
        <w:rPr>
          <w:rFonts w:hint="eastAsia" w:ascii="Times New Roman" w:hAnsi="Times New Roman" w:eastAsia="仿宋_GB2312" w:cs="Times New Roman"/>
          <w:b w:val="0"/>
          <w:bCs w:val="0"/>
          <w:color w:val="auto"/>
          <w:sz w:val="32"/>
          <w:highlight w:val="none"/>
          <w:lang w:val="en-US" w:eastAsia="zh-CN"/>
        </w:rPr>
        <w:t>3</w:t>
      </w:r>
      <w:r>
        <w:rPr>
          <w:rFonts w:hint="default" w:ascii="Times New Roman" w:hAnsi="Times New Roman" w:eastAsia="仿宋_GB2312" w:cs="Times New Roman"/>
          <w:b w:val="0"/>
          <w:bCs w:val="0"/>
          <w:color w:val="auto"/>
          <w:sz w:val="32"/>
          <w:highlight w:val="none"/>
          <w:lang w:val="en-US" w:eastAsia="zh-CN"/>
        </w:rPr>
        <w:t>亿元</w:t>
      </w:r>
      <w:r>
        <w:rPr>
          <w:rFonts w:hint="default" w:ascii="Times New Roman" w:hAnsi="Times New Roman" w:eastAsia="仿宋_GB2312" w:cs="Times New Roman"/>
          <w:color w:val="auto"/>
          <w:sz w:val="32"/>
          <w:highlight w:val="none"/>
          <w:lang w:val="en-US" w:eastAsia="zh-CN"/>
        </w:rPr>
        <w:t>。</w:t>
      </w:r>
    </w:p>
    <w:p>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z w:val="32"/>
          <w:highlight w:val="none"/>
        </w:rPr>
      </w:pP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bookmarkStart w:id="129" w:name="_Toc31813"/>
      <w:bookmarkStart w:id="130" w:name="_Toc22028"/>
      <w:bookmarkStart w:id="131" w:name="_Toc2198"/>
      <w:bookmarkStart w:id="132" w:name="_Toc17227"/>
      <w:bookmarkStart w:id="133" w:name="_Toc32086"/>
      <w:r>
        <w:rPr>
          <w:rFonts w:hint="eastAsia" w:ascii="黑体" w:hAnsi="黑体" w:eastAsia="黑体" w:cs="黑体"/>
          <w:color w:val="auto"/>
          <w:sz w:val="32"/>
          <w:szCs w:val="32"/>
          <w:highlight w:val="none"/>
          <w:lang w:eastAsia="zh-CN"/>
        </w:rPr>
        <w:t>二十一、</w:t>
      </w:r>
      <w:r>
        <w:rPr>
          <w:rFonts w:hint="eastAsia" w:ascii="黑体" w:hAnsi="黑体" w:eastAsia="黑体" w:cs="黑体"/>
          <w:color w:val="auto"/>
          <w:sz w:val="32"/>
          <w:szCs w:val="32"/>
          <w:highlight w:val="none"/>
          <w:lang w:val="en-US" w:eastAsia="zh-CN"/>
        </w:rPr>
        <w:t>社会服务设施建设支持工程专项</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1.政策依据</w:t>
      </w:r>
    </w:p>
    <w:p>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国家发展改革委等部门《关于印发</w:t>
      </w:r>
      <w:r>
        <w:rPr>
          <w:rFonts w:hint="eastAsia" w:ascii="Times New Roman" w:hAnsi="Times New Roman" w:eastAsia="仿宋_GB2312" w:cs="Times New Roman"/>
          <w:color w:val="auto"/>
          <w:sz w:val="32"/>
          <w:highlight w:val="none"/>
          <w:lang w:val="en-US" w:eastAsia="zh-CN"/>
        </w:rPr>
        <w:t>&lt;</w:t>
      </w:r>
      <w:r>
        <w:rPr>
          <w:rFonts w:hint="default" w:ascii="Times New Roman" w:hAnsi="Times New Roman" w:eastAsia="仿宋_GB2312" w:cs="Times New Roman"/>
          <w:color w:val="auto"/>
          <w:sz w:val="32"/>
          <w:highlight w:val="none"/>
          <w:lang w:val="en-US" w:eastAsia="zh-CN"/>
        </w:rPr>
        <w:t>“十四五”时期全民健身设施补短板工程实施方案</w:t>
      </w:r>
      <w:r>
        <w:rPr>
          <w:rFonts w:hint="eastAsia" w:ascii="Times New Roman" w:hAnsi="Times New Roman" w:eastAsia="仿宋_GB2312" w:cs="Times New Roman"/>
          <w:color w:val="auto"/>
          <w:sz w:val="32"/>
          <w:highlight w:val="none"/>
          <w:lang w:val="en-US" w:eastAsia="zh-CN"/>
        </w:rPr>
        <w:t>&gt;</w:t>
      </w:r>
      <w:r>
        <w:rPr>
          <w:rFonts w:hint="default" w:ascii="Times New Roman" w:hAnsi="Times New Roman" w:eastAsia="仿宋_GB2312" w:cs="Times New Roman"/>
          <w:color w:val="auto"/>
          <w:sz w:val="32"/>
          <w:highlight w:val="none"/>
          <w:lang w:val="en-US" w:eastAsia="zh-CN"/>
        </w:rPr>
        <w:t>的通知》</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lang w:val="en-US" w:eastAsia="zh-CN"/>
        </w:rPr>
        <w:t>发改社会〔2021〕555号</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lang w:val="en-US" w:eastAsia="zh-CN"/>
        </w:rPr>
        <w:t>国家发展改革委等部门《关于印发</w:t>
      </w:r>
      <w:r>
        <w:rPr>
          <w:rFonts w:hint="eastAsia" w:ascii="Times New Roman" w:hAnsi="Times New Roman" w:eastAsia="仿宋_GB2312" w:cs="Times New Roman"/>
          <w:color w:val="auto"/>
          <w:sz w:val="32"/>
          <w:highlight w:val="none"/>
          <w:lang w:val="en-US" w:eastAsia="zh-CN"/>
        </w:rPr>
        <w:t>&lt;</w:t>
      </w:r>
      <w:r>
        <w:rPr>
          <w:rFonts w:hint="default" w:ascii="Times New Roman" w:hAnsi="Times New Roman" w:eastAsia="仿宋_GB2312" w:cs="Times New Roman"/>
          <w:color w:val="auto"/>
          <w:sz w:val="32"/>
          <w:highlight w:val="none"/>
          <w:lang w:val="en-US" w:eastAsia="zh-CN"/>
        </w:rPr>
        <w:t>“十四五”时期社会服务设施建设支持工程实施方案</w:t>
      </w:r>
      <w:r>
        <w:rPr>
          <w:rFonts w:hint="eastAsia" w:ascii="Times New Roman" w:hAnsi="Times New Roman" w:eastAsia="仿宋_GB2312" w:cs="Times New Roman"/>
          <w:color w:val="auto"/>
          <w:sz w:val="32"/>
          <w:highlight w:val="none"/>
          <w:lang w:val="en-US" w:eastAsia="zh-CN"/>
        </w:rPr>
        <w:t>&gt;</w:t>
      </w:r>
      <w:r>
        <w:rPr>
          <w:rFonts w:hint="default" w:ascii="Times New Roman" w:hAnsi="Times New Roman" w:eastAsia="仿宋_GB2312" w:cs="Times New Roman"/>
          <w:color w:val="auto"/>
          <w:sz w:val="32"/>
          <w:highlight w:val="none"/>
          <w:lang w:val="en-US" w:eastAsia="zh-CN"/>
        </w:rPr>
        <w:t>的通知》</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发改社会〔2023〕294号</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eastAsia="zh-CN"/>
        </w:rPr>
        <w:t>国家发展改革委</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eastAsia="zh-CN"/>
        </w:rPr>
        <w:t>关于修订印发社会领域中央预算内投资相关专项管理办法的通知</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eastAsia="zh-CN"/>
        </w:rPr>
        <w:t>（发改社会规〔2024〕284号）。</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2.支持范围</w:t>
      </w:r>
    </w:p>
    <w:bookmarkEnd w:id="129"/>
    <w:bookmarkEnd w:id="130"/>
    <w:bookmarkEnd w:id="131"/>
    <w:bookmarkEnd w:id="132"/>
    <w:bookmarkEnd w:id="133"/>
    <w:p>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b/>
          <w:bCs/>
          <w:color w:val="auto"/>
          <w:sz w:val="32"/>
          <w:highlight w:val="none"/>
        </w:rPr>
        <w:t>（1）社会福利服务设施</w:t>
      </w:r>
      <w:r>
        <w:rPr>
          <w:rFonts w:hint="eastAsia" w:ascii="Times New Roman" w:hAnsi="Times New Roman" w:eastAsia="仿宋_GB2312" w:cs="Times New Roman"/>
          <w:b/>
          <w:bCs/>
          <w:color w:val="auto"/>
          <w:sz w:val="32"/>
          <w:highlight w:val="none"/>
          <w:lang w:eastAsia="zh-CN"/>
        </w:rPr>
        <w:t>：</w:t>
      </w:r>
      <w:r>
        <w:rPr>
          <w:rFonts w:hint="default" w:ascii="Times New Roman" w:hAnsi="Times New Roman" w:eastAsia="仿宋_GB2312" w:cs="Times New Roman"/>
          <w:color w:val="auto"/>
          <w:sz w:val="32"/>
          <w:highlight w:val="none"/>
        </w:rPr>
        <w:t>儿童福利设施、未成年人保护设施、流浪乞讨人员救助管理站、殡葬服务设施、精神卫生福利设施</w:t>
      </w:r>
      <w:r>
        <w:rPr>
          <w:rFonts w:hint="eastAsia" w:ascii="Times New Roman" w:hAnsi="Times New Roman" w:eastAsia="仿宋_GB2312" w:cs="Times New Roman"/>
          <w:color w:val="auto"/>
          <w:sz w:val="32"/>
          <w:highlight w:val="none"/>
          <w:lang w:eastAsia="zh-CN"/>
        </w:rPr>
        <w:t>。</w:t>
      </w:r>
    </w:p>
    <w:p>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b/>
          <w:bCs/>
          <w:color w:val="auto"/>
          <w:sz w:val="32"/>
          <w:highlight w:val="none"/>
        </w:rPr>
        <w:t>（2）退役军人服务设施：</w:t>
      </w:r>
      <w:r>
        <w:rPr>
          <w:rFonts w:hint="default" w:ascii="Times New Roman" w:hAnsi="Times New Roman" w:eastAsia="仿宋_GB2312" w:cs="Times New Roman"/>
          <w:color w:val="auto"/>
          <w:sz w:val="32"/>
          <w:highlight w:val="none"/>
        </w:rPr>
        <w:t>烈士纪念设施、军人公墓、优抚医院、光荣院</w:t>
      </w:r>
      <w:r>
        <w:rPr>
          <w:rFonts w:hint="eastAsia" w:ascii="Times New Roman" w:hAnsi="Times New Roman" w:eastAsia="仿宋_GB2312" w:cs="Times New Roman"/>
          <w:color w:val="auto"/>
          <w:sz w:val="32"/>
          <w:highlight w:val="none"/>
          <w:lang w:eastAsia="zh-CN"/>
        </w:rPr>
        <w:t>。</w:t>
      </w:r>
    </w:p>
    <w:p>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
          <w:bCs/>
          <w:color w:val="auto"/>
          <w:sz w:val="32"/>
          <w:highlight w:val="none"/>
        </w:rPr>
        <w:t>（3）残疾人服务设施：</w:t>
      </w:r>
      <w:r>
        <w:rPr>
          <w:rFonts w:hint="default" w:ascii="Times New Roman" w:hAnsi="Times New Roman" w:eastAsia="仿宋_GB2312" w:cs="Times New Roman"/>
          <w:color w:val="auto"/>
          <w:sz w:val="32"/>
          <w:highlight w:val="none"/>
        </w:rPr>
        <w:t>残疾人康复设施、残疾人托养设施、省级盲人按摩医院。</w:t>
      </w:r>
    </w:p>
    <w:p>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color w:val="auto"/>
          <w:sz w:val="32"/>
          <w:highlight w:val="none"/>
        </w:rPr>
      </w:pPr>
      <w:r>
        <w:rPr>
          <w:rFonts w:hint="eastAsia" w:ascii="Times New Roman" w:hAnsi="Times New Roman" w:eastAsia="仿宋_GB2312" w:cs="Times New Roman"/>
          <w:b/>
          <w:bCs/>
          <w:color w:val="auto"/>
          <w:sz w:val="32"/>
          <w:highlight w:val="none"/>
          <w:lang w:eastAsia="zh-CN"/>
        </w:rPr>
        <w:t>（</w:t>
      </w:r>
      <w:r>
        <w:rPr>
          <w:rFonts w:hint="eastAsia" w:ascii="Times New Roman" w:hAnsi="Times New Roman" w:eastAsia="仿宋_GB2312" w:cs="Times New Roman"/>
          <w:b/>
          <w:bCs/>
          <w:color w:val="auto"/>
          <w:sz w:val="32"/>
          <w:highlight w:val="none"/>
          <w:lang w:val="en-US" w:eastAsia="zh-CN"/>
        </w:rPr>
        <w:t>4</w:t>
      </w:r>
      <w:r>
        <w:rPr>
          <w:rFonts w:hint="eastAsia" w:ascii="Times New Roman" w:hAnsi="Times New Roman" w:eastAsia="仿宋_GB2312" w:cs="Times New Roman"/>
          <w:b/>
          <w:bCs/>
          <w:color w:val="auto"/>
          <w:sz w:val="32"/>
          <w:highlight w:val="none"/>
          <w:lang w:eastAsia="zh-CN"/>
        </w:rPr>
        <w:t>）全民健身：</w:t>
      </w:r>
      <w:r>
        <w:rPr>
          <w:rFonts w:hint="default" w:ascii="Times New Roman" w:hAnsi="Times New Roman" w:eastAsia="仿宋_GB2312" w:cs="Times New Roman"/>
          <w:color w:val="auto"/>
          <w:sz w:val="32"/>
          <w:highlight w:val="none"/>
        </w:rPr>
        <w:t>体育公园</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全民健身中心（小型体育综合体）</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公共体育场中标准田径跑道和标准足球场地</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社会足球场地</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健身步道</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户外运动公共服务设施。</w:t>
      </w:r>
    </w:p>
    <w:p>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楷体_GB2312" w:cs="Times New Roman"/>
          <w:b/>
          <w:bCs/>
          <w:color w:val="auto"/>
          <w:sz w:val="32"/>
          <w:szCs w:val="32"/>
          <w:highlight w:val="none"/>
          <w:lang w:eastAsia="zh-CN"/>
        </w:rPr>
      </w:pPr>
      <w:r>
        <w:rPr>
          <w:rFonts w:hint="eastAsia" w:ascii="仿宋_GB2312" w:hAnsi="仿宋_GB2312" w:eastAsia="仿宋_GB2312" w:cs="仿宋_GB2312"/>
          <w:color w:val="auto"/>
          <w:sz w:val="32"/>
          <w:highlight w:val="none"/>
        </w:rPr>
        <w:t xml:space="preserve"> </w:t>
      </w:r>
      <w:r>
        <w:rPr>
          <w:rFonts w:hint="eastAsia" w:ascii="Times New Roman" w:hAnsi="Times New Roman" w:eastAsia="楷体_GB2312" w:cs="Times New Roman"/>
          <w:b/>
          <w:bCs/>
          <w:color w:val="auto"/>
          <w:sz w:val="32"/>
          <w:szCs w:val="32"/>
          <w:highlight w:val="none"/>
          <w:lang w:val="en-US" w:eastAsia="zh-CN"/>
        </w:rPr>
        <w:t>3.</w:t>
      </w:r>
      <w:r>
        <w:rPr>
          <w:rFonts w:hint="eastAsia" w:ascii="Times New Roman" w:hAnsi="Times New Roman" w:eastAsia="楷体_GB2312" w:cs="Times New Roman"/>
          <w:b/>
          <w:bCs/>
          <w:color w:val="auto"/>
          <w:sz w:val="32"/>
          <w:szCs w:val="32"/>
          <w:highlight w:val="none"/>
          <w:lang w:eastAsia="zh-CN"/>
        </w:rPr>
        <w:t>支持比例</w:t>
      </w:r>
    </w:p>
    <w:p>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color w:val="auto"/>
          <w:sz w:val="32"/>
          <w:highlight w:val="none"/>
          <w:lang w:eastAsia="zh-CN"/>
        </w:rPr>
      </w:pPr>
      <w:r>
        <w:rPr>
          <w:rFonts w:hint="eastAsia" w:ascii="Times New Roman" w:hAnsi="Times New Roman" w:eastAsia="仿宋_GB2312" w:cs="Times New Roman"/>
          <w:color w:val="auto"/>
          <w:sz w:val="32"/>
          <w:highlight w:val="none"/>
          <w:lang w:eastAsia="zh-CN"/>
        </w:rPr>
        <w:t>项目原则上不超过平均总投资</w:t>
      </w:r>
      <w:r>
        <w:rPr>
          <w:rFonts w:hint="default" w:ascii="Times New Roman" w:hAnsi="Times New Roman" w:eastAsia="仿宋_GB2312" w:cs="Times New Roman"/>
          <w:color w:val="auto"/>
          <w:sz w:val="32"/>
          <w:highlight w:val="none"/>
          <w:lang w:val="en" w:eastAsia="zh-CN"/>
        </w:rPr>
        <w:t>（</w:t>
      </w:r>
      <w:r>
        <w:rPr>
          <w:rFonts w:hint="eastAsia" w:ascii="Times New Roman" w:hAnsi="Times New Roman" w:eastAsia="仿宋_GB2312" w:cs="Times New Roman"/>
          <w:color w:val="auto"/>
          <w:sz w:val="32"/>
          <w:highlight w:val="none"/>
          <w:lang w:eastAsia="zh-CN"/>
        </w:rPr>
        <w:t>不含土地费用、市政费用,仅为工程建设投资</w:t>
      </w:r>
      <w:r>
        <w:rPr>
          <w:rFonts w:hint="default" w:ascii="Times New Roman" w:hAnsi="Times New Roman" w:eastAsia="仿宋_GB2312" w:cs="Times New Roman"/>
          <w:color w:val="auto"/>
          <w:sz w:val="32"/>
          <w:highlight w:val="none"/>
          <w:lang w:val="en" w:eastAsia="zh-CN"/>
        </w:rPr>
        <w:t>）</w:t>
      </w:r>
      <w:r>
        <w:rPr>
          <w:rFonts w:hint="eastAsia" w:ascii="Times New Roman" w:hAnsi="Times New Roman" w:eastAsia="仿宋_GB2312" w:cs="Times New Roman"/>
          <w:color w:val="auto"/>
          <w:sz w:val="32"/>
          <w:highlight w:val="none"/>
          <w:lang w:eastAsia="zh-CN"/>
        </w:rPr>
        <w:t>或床位平均建设投资</w:t>
      </w:r>
      <w:r>
        <w:rPr>
          <w:rFonts w:hint="default" w:ascii="Times New Roman" w:hAnsi="Times New Roman" w:eastAsia="仿宋_GB2312" w:cs="Times New Roman"/>
          <w:color w:val="auto"/>
          <w:sz w:val="32"/>
          <w:highlight w:val="none"/>
          <w:lang w:val="en" w:eastAsia="zh-CN"/>
        </w:rPr>
        <w:t>（</w:t>
      </w:r>
      <w:r>
        <w:rPr>
          <w:rFonts w:hint="eastAsia" w:ascii="Times New Roman" w:hAnsi="Times New Roman" w:eastAsia="仿宋_GB2312" w:cs="Times New Roman"/>
          <w:color w:val="auto"/>
          <w:sz w:val="32"/>
          <w:highlight w:val="none"/>
          <w:lang w:eastAsia="zh-CN"/>
        </w:rPr>
        <w:t>简称“平均投资”</w:t>
      </w:r>
      <w:r>
        <w:rPr>
          <w:rFonts w:hint="default" w:ascii="Times New Roman" w:hAnsi="Times New Roman" w:eastAsia="仿宋_GB2312" w:cs="Times New Roman"/>
          <w:color w:val="auto"/>
          <w:sz w:val="32"/>
          <w:highlight w:val="none"/>
          <w:lang w:val="en" w:eastAsia="zh-CN"/>
        </w:rPr>
        <w:t>）</w:t>
      </w:r>
      <w:r>
        <w:rPr>
          <w:rFonts w:hint="eastAsia" w:ascii="Times New Roman" w:hAnsi="Times New Roman" w:eastAsia="仿宋_GB2312" w:cs="Times New Roman"/>
          <w:color w:val="auto"/>
          <w:sz w:val="32"/>
          <w:highlight w:val="none"/>
          <w:lang w:eastAsia="zh-CN"/>
        </w:rPr>
        <w:t>60%的比例支持</w:t>
      </w:r>
      <w:r>
        <w:rPr>
          <w:rFonts w:hint="default" w:ascii="Times New Roman" w:hAnsi="Times New Roman" w:eastAsia="仿宋_GB2312" w:cs="Times New Roman"/>
          <w:color w:val="auto"/>
          <w:sz w:val="32"/>
          <w:highlight w:val="none"/>
          <w:lang w:val="en" w:eastAsia="zh-CN"/>
        </w:rPr>
        <w:t>（</w:t>
      </w:r>
      <w:r>
        <w:rPr>
          <w:rFonts w:hint="eastAsia" w:ascii="Times New Roman" w:hAnsi="Times New Roman" w:eastAsia="仿宋_GB2312" w:cs="Times New Roman"/>
          <w:color w:val="auto"/>
          <w:sz w:val="32"/>
          <w:highlight w:val="none"/>
          <w:lang w:eastAsia="zh-CN"/>
        </w:rPr>
        <w:t>定额支持项目除外</w:t>
      </w:r>
      <w:r>
        <w:rPr>
          <w:rFonts w:hint="default" w:ascii="Times New Roman" w:hAnsi="Times New Roman" w:eastAsia="仿宋_GB2312" w:cs="Times New Roman"/>
          <w:color w:val="auto"/>
          <w:sz w:val="32"/>
          <w:highlight w:val="none"/>
          <w:lang w:val="en" w:eastAsia="zh-CN"/>
        </w:rPr>
        <w:t>）</w:t>
      </w:r>
      <w:r>
        <w:rPr>
          <w:rFonts w:hint="eastAsia" w:ascii="Times New Roman" w:hAnsi="Times New Roman" w:eastAsia="仿宋_GB2312" w:cs="Times New Roman"/>
          <w:color w:val="auto"/>
          <w:sz w:val="32"/>
          <w:highlight w:val="none"/>
          <w:lang w:eastAsia="zh-CN"/>
        </w:rPr>
        <w:t>。对低于平均投资的项目按照实际投资，原则上给予上述相应比例支持；对高于平均投资的项目，超出部分投资各地自行解决。</w:t>
      </w:r>
    </w:p>
    <w:p>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color w:val="auto"/>
          <w:sz w:val="32"/>
          <w:highlight w:val="none"/>
          <w:lang w:eastAsia="zh-CN"/>
        </w:rPr>
      </w:pPr>
      <w:r>
        <w:rPr>
          <w:rFonts w:hint="eastAsia" w:ascii="Times New Roman" w:hAnsi="Times New Roman" w:eastAsia="仿宋_GB2312" w:cs="Times New Roman"/>
          <w:color w:val="auto"/>
          <w:sz w:val="32"/>
          <w:highlight w:val="none"/>
          <w:lang w:eastAsia="zh-CN"/>
        </w:rPr>
        <w:t>对儿童福利院、未成年人保护中心、流浪乞讨人员救助管理站、精神卫生福利设施、优抚医院、光荣院的改建项目,支持额度在上述支持标准的基础上减半。</w:t>
      </w:r>
    </w:p>
    <w:p>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color w:val="auto"/>
          <w:sz w:val="32"/>
          <w:highlight w:val="none"/>
          <w:lang w:eastAsia="zh-CN"/>
        </w:rPr>
      </w:pP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bookmarkStart w:id="134" w:name="_Toc25079"/>
      <w:bookmarkStart w:id="135" w:name="_Toc23160"/>
      <w:bookmarkStart w:id="136" w:name="_Toc5941"/>
      <w:bookmarkStart w:id="137" w:name="_Toc22525"/>
      <w:bookmarkStart w:id="138" w:name="_Toc16995"/>
      <w:bookmarkStart w:id="139" w:name="_Toc4839"/>
      <w:bookmarkStart w:id="140" w:name="_Toc24190"/>
      <w:bookmarkStart w:id="141" w:name="_Toc18450"/>
      <w:bookmarkStart w:id="142" w:name="_Toc9997"/>
      <w:bookmarkStart w:id="143" w:name="_Toc30336"/>
      <w:r>
        <w:rPr>
          <w:rFonts w:hint="eastAsia" w:ascii="黑体" w:hAnsi="黑体" w:eastAsia="黑体" w:cs="黑体"/>
          <w:color w:val="auto"/>
          <w:sz w:val="32"/>
          <w:szCs w:val="32"/>
          <w:highlight w:val="none"/>
          <w:lang w:eastAsia="zh-CN"/>
        </w:rPr>
        <w:t>二十二、积极应对人口老龄化工程和托育建设</w:t>
      </w:r>
      <w:bookmarkEnd w:id="134"/>
      <w:r>
        <w:rPr>
          <w:rFonts w:hint="eastAsia" w:ascii="黑体" w:hAnsi="黑体" w:eastAsia="黑体" w:cs="黑体"/>
          <w:color w:val="auto"/>
          <w:sz w:val="32"/>
          <w:szCs w:val="32"/>
          <w:highlight w:val="none"/>
          <w:lang w:eastAsia="zh-CN"/>
        </w:rPr>
        <w:t>专项</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1.政策依据</w:t>
      </w:r>
    </w:p>
    <w:p>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国家发展改革委民政部国家卫生健康委《关于修订印发</w:t>
      </w:r>
      <w:r>
        <w:rPr>
          <w:rFonts w:hint="eastAsia" w:ascii="Times New Roman" w:hAnsi="Times New Roman" w:eastAsia="仿宋_GB2312" w:cs="Times New Roman"/>
          <w:color w:val="auto"/>
          <w:sz w:val="32"/>
          <w:highlight w:val="none"/>
          <w:lang w:val="en-US" w:eastAsia="zh-CN"/>
        </w:rPr>
        <w:t>&lt;</w:t>
      </w:r>
      <w:r>
        <w:rPr>
          <w:rFonts w:hint="default" w:ascii="Times New Roman" w:hAnsi="Times New Roman" w:eastAsia="仿宋_GB2312" w:cs="Times New Roman"/>
          <w:color w:val="auto"/>
          <w:sz w:val="32"/>
          <w:highlight w:val="none"/>
          <w:lang w:val="en-US" w:eastAsia="zh-CN"/>
        </w:rPr>
        <w:t>“十四五”积极应对人口老龄化工程和托育建设实施方案</w:t>
      </w:r>
      <w:r>
        <w:rPr>
          <w:rFonts w:hint="eastAsia" w:ascii="Times New Roman" w:hAnsi="Times New Roman" w:eastAsia="仿宋_GB2312" w:cs="Times New Roman"/>
          <w:color w:val="auto"/>
          <w:sz w:val="32"/>
          <w:highlight w:val="none"/>
          <w:lang w:val="en-US" w:eastAsia="zh-CN"/>
        </w:rPr>
        <w:t>&gt;</w:t>
      </w:r>
      <w:r>
        <w:rPr>
          <w:rFonts w:hint="default" w:ascii="Times New Roman" w:hAnsi="Times New Roman" w:eastAsia="仿宋_GB2312" w:cs="Times New Roman"/>
          <w:color w:val="auto"/>
          <w:sz w:val="32"/>
          <w:highlight w:val="none"/>
          <w:lang w:val="en-US" w:eastAsia="zh-CN"/>
        </w:rPr>
        <w:t>的通知》</w:t>
      </w:r>
      <w:r>
        <w:rPr>
          <w:rFonts w:hint="eastAsia" w:ascii="Times New Roman" w:hAnsi="Times New Roman" w:eastAsia="仿宋_GB2312" w:cs="Times New Roman"/>
          <w:color w:val="auto"/>
          <w:sz w:val="32"/>
          <w:highlight w:val="none"/>
          <w:lang w:val="en-US" w:eastAsia="zh-CN"/>
        </w:rPr>
        <w:t>（发改社会〔2024〕260号）</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eastAsia="zh-CN"/>
        </w:rPr>
        <w:t>国家发展改革委</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eastAsia="zh-CN"/>
        </w:rPr>
        <w:t>关于修订印发社会领域中央预算内投资相关专项管理办法的通知</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eastAsia="zh-CN"/>
        </w:rPr>
        <w:t>（发改社会规〔2024〕284号）。</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2.支持范围</w:t>
      </w:r>
    </w:p>
    <w:p>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b/>
          <w:bCs/>
          <w:color w:val="auto"/>
          <w:sz w:val="32"/>
          <w:highlight w:val="none"/>
        </w:rPr>
        <w:t>（1）公办养老服务能力提升项目</w:t>
      </w:r>
      <w:r>
        <w:rPr>
          <w:rFonts w:hint="eastAsia" w:ascii="Times New Roman" w:hAnsi="Times New Roman" w:eastAsia="仿宋_GB2312" w:cs="Times New Roman"/>
          <w:b/>
          <w:bCs/>
          <w:color w:val="auto"/>
          <w:sz w:val="32"/>
          <w:highlight w:val="none"/>
          <w:lang w:eastAsia="zh-CN"/>
        </w:rPr>
        <w:t>：</w:t>
      </w:r>
      <w:r>
        <w:rPr>
          <w:rFonts w:hint="eastAsia" w:ascii="Times New Roman" w:hAnsi="Times New Roman" w:eastAsia="仿宋_GB2312" w:cs="Times New Roman"/>
          <w:color w:val="auto"/>
          <w:sz w:val="32"/>
          <w:highlight w:val="none"/>
          <w:lang w:eastAsia="zh-CN"/>
        </w:rPr>
        <w:t>公办居家社区养老服务网络建设项目、公办养老服务机构（含特困人员供养服务机构）建设项目、公立医疗卫生机构医养结合服务能力建设项目。</w:t>
      </w:r>
    </w:p>
    <w:p>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b/>
          <w:bCs/>
          <w:color w:val="auto"/>
          <w:sz w:val="32"/>
          <w:highlight w:val="none"/>
        </w:rPr>
        <w:t>（2）普惠养老城企联动专项行动</w:t>
      </w:r>
      <w:r>
        <w:rPr>
          <w:rFonts w:hint="eastAsia" w:ascii="Times New Roman" w:hAnsi="Times New Roman" w:eastAsia="仿宋_GB2312" w:cs="Times New Roman"/>
          <w:b/>
          <w:bCs/>
          <w:color w:val="auto"/>
          <w:sz w:val="32"/>
          <w:highlight w:val="none"/>
          <w:lang w:eastAsia="zh-CN"/>
        </w:rPr>
        <w:t>：</w:t>
      </w:r>
      <w:r>
        <w:rPr>
          <w:rFonts w:hint="eastAsia" w:ascii="Times New Roman" w:hAnsi="Times New Roman" w:eastAsia="仿宋_GB2312" w:cs="Times New Roman"/>
          <w:color w:val="auto"/>
          <w:sz w:val="32"/>
          <w:highlight w:val="none"/>
          <w:lang w:eastAsia="zh-CN"/>
        </w:rPr>
        <w:t>通过新建养老服务设施， 以及改扩建适宜的培训疗养设施、厂房、医院、闲置校舍、办公用房及其他设施等方式，支持示范性普惠养老服务机构建设，支持党政机关和国有企事业单位所属培训疗养机构转型发展普惠养老项目。</w:t>
      </w:r>
    </w:p>
    <w:p>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b/>
          <w:bCs/>
          <w:color w:val="auto"/>
          <w:sz w:val="32"/>
          <w:highlight w:val="none"/>
        </w:rPr>
        <w:t>（3）公办托育服务能力建设项目</w:t>
      </w:r>
      <w:r>
        <w:rPr>
          <w:rFonts w:hint="eastAsia" w:ascii="Times New Roman" w:hAnsi="Times New Roman" w:eastAsia="仿宋_GB2312" w:cs="Times New Roman"/>
          <w:b/>
          <w:bCs/>
          <w:color w:val="auto"/>
          <w:sz w:val="32"/>
          <w:highlight w:val="none"/>
          <w:lang w:eastAsia="zh-CN"/>
        </w:rPr>
        <w:t>：</w:t>
      </w:r>
      <w:r>
        <w:rPr>
          <w:rFonts w:hint="eastAsia" w:ascii="Times New Roman" w:hAnsi="Times New Roman" w:eastAsia="仿宋_GB2312" w:cs="Times New Roman"/>
          <w:color w:val="auto"/>
          <w:sz w:val="32"/>
          <w:highlight w:val="none"/>
          <w:lang w:eastAsia="zh-CN"/>
        </w:rPr>
        <w:t>托育综合服务中心建设项目，以托育综合服务中心为枢纽，支持各地加快形成“1+N”托育服务体系；公办托育服务网络建设项目，支持公办托育服务机构建设，支持机关事业单位利用自有土地或设施新建、改扩建托育服务设施。</w:t>
      </w:r>
    </w:p>
    <w:p>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b/>
          <w:bCs/>
          <w:color w:val="auto"/>
          <w:sz w:val="32"/>
          <w:highlight w:val="none"/>
        </w:rPr>
        <w:t>（4）普惠托育服务专项行动</w:t>
      </w:r>
      <w:r>
        <w:rPr>
          <w:rFonts w:hint="eastAsia" w:ascii="Times New Roman" w:hAnsi="Times New Roman" w:eastAsia="仿宋_GB2312" w:cs="Times New Roman"/>
          <w:b/>
          <w:bCs/>
          <w:color w:val="auto"/>
          <w:sz w:val="32"/>
          <w:highlight w:val="none"/>
          <w:lang w:eastAsia="zh-CN"/>
        </w:rPr>
        <w:t>：</w:t>
      </w:r>
      <w:r>
        <w:rPr>
          <w:rFonts w:hint="eastAsia" w:ascii="Times New Roman" w:hAnsi="Times New Roman" w:eastAsia="仿宋_GB2312" w:cs="Times New Roman"/>
          <w:color w:val="auto"/>
          <w:sz w:val="32"/>
          <w:highlight w:val="none"/>
          <w:lang w:eastAsia="zh-CN"/>
        </w:rPr>
        <w:t>培育承担一定指导功能的示范性托育服务机构，新建、改扩建一批连锁化、专业化的托育服务设施，提供全日托、半日托、计时托、临时托等多样化的普惠托育服务，发展互联网直播互动式家庭育儿服务，鼓励开发婴幼儿养育课程、父母课堂等。</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w:t>
      </w:r>
      <w:r>
        <w:rPr>
          <w:rFonts w:hint="eastAsia" w:ascii="Times New Roman" w:hAnsi="Times New Roman" w:eastAsia="仿宋_GB2312" w:cs="Times New Roman"/>
          <w:b/>
          <w:bCs/>
          <w:color w:val="auto"/>
          <w:sz w:val="32"/>
          <w:szCs w:val="32"/>
          <w:highlight w:val="none"/>
          <w:lang w:val="en-US" w:eastAsia="zh-CN"/>
        </w:rPr>
        <w:t>5</w:t>
      </w:r>
      <w:r>
        <w:rPr>
          <w:rFonts w:hint="default" w:ascii="Times New Roman" w:hAnsi="Times New Roman" w:eastAsia="仿宋_GB2312" w:cs="Times New Roman"/>
          <w:b/>
          <w:bCs/>
          <w:color w:val="auto"/>
          <w:sz w:val="32"/>
          <w:szCs w:val="32"/>
          <w:highlight w:val="none"/>
        </w:rPr>
        <w:t>）产粮大县养老托育服务设施项目。</w:t>
      </w:r>
    </w:p>
    <w:p>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楷体_GB2312" w:cs="Times New Roman"/>
          <w:b/>
          <w:bCs/>
          <w:color w:val="auto"/>
          <w:sz w:val="32"/>
          <w:szCs w:val="32"/>
          <w:highlight w:val="none"/>
          <w:lang w:eastAsia="zh-CN"/>
        </w:rPr>
      </w:pPr>
      <w:r>
        <w:rPr>
          <w:rFonts w:hint="eastAsia" w:ascii="Times New Roman" w:hAnsi="Times New Roman" w:eastAsia="楷体_GB2312" w:cs="Times New Roman"/>
          <w:b/>
          <w:bCs/>
          <w:color w:val="auto"/>
          <w:sz w:val="32"/>
          <w:szCs w:val="32"/>
          <w:highlight w:val="none"/>
          <w:lang w:val="en-US" w:eastAsia="zh-CN"/>
        </w:rPr>
        <w:t>3.</w:t>
      </w:r>
      <w:r>
        <w:rPr>
          <w:rFonts w:hint="eastAsia" w:ascii="Times New Roman" w:hAnsi="Times New Roman" w:eastAsia="楷体_GB2312" w:cs="Times New Roman"/>
          <w:b/>
          <w:bCs/>
          <w:color w:val="auto"/>
          <w:sz w:val="32"/>
          <w:szCs w:val="32"/>
          <w:highlight w:val="none"/>
          <w:lang w:eastAsia="zh-CN"/>
        </w:rPr>
        <w:t>支持比例</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公办养老服务能力提升项目、公办托育服务能力建设项目，原则上按照不超过项目（平均）总投资</w:t>
      </w:r>
      <w:r>
        <w:rPr>
          <w:rFonts w:hint="default" w:ascii="Times New Roman" w:hAnsi="Times New Roman" w:eastAsia="仿宋_GB2312" w:cs="Times New Roman"/>
          <w:color w:val="auto"/>
          <w:kern w:val="2"/>
          <w:sz w:val="32"/>
          <w:szCs w:val="32"/>
          <w:highlight w:val="none"/>
          <w:lang w:val="en" w:eastAsia="zh-CN" w:bidi="ar-SA"/>
        </w:rPr>
        <w:t>（</w:t>
      </w:r>
      <w:r>
        <w:rPr>
          <w:rFonts w:hint="eastAsia" w:ascii="Times New Roman" w:hAnsi="Times New Roman" w:eastAsia="仿宋_GB2312" w:cs="Times New Roman"/>
          <w:color w:val="auto"/>
          <w:kern w:val="2"/>
          <w:sz w:val="32"/>
          <w:szCs w:val="32"/>
          <w:highlight w:val="none"/>
          <w:lang w:val="en-US" w:eastAsia="zh-CN" w:bidi="ar-SA"/>
        </w:rPr>
        <w:t>不含土地费用、市政费用，仅为工程建设投资</w:t>
      </w:r>
      <w:r>
        <w:rPr>
          <w:rFonts w:hint="default" w:ascii="Times New Roman" w:hAnsi="Times New Roman" w:eastAsia="仿宋_GB2312" w:cs="Times New Roman"/>
          <w:color w:val="auto"/>
          <w:kern w:val="2"/>
          <w:sz w:val="32"/>
          <w:szCs w:val="32"/>
          <w:highlight w:val="none"/>
          <w:lang w:val="en" w:eastAsia="zh-CN" w:bidi="ar-SA"/>
        </w:rPr>
        <w:t>）</w:t>
      </w:r>
      <w:r>
        <w:rPr>
          <w:rFonts w:hint="eastAsia" w:ascii="Times New Roman" w:hAnsi="Times New Roman" w:eastAsia="仿宋_GB2312" w:cs="Times New Roman"/>
          <w:color w:val="auto"/>
          <w:kern w:val="2"/>
          <w:sz w:val="32"/>
          <w:szCs w:val="32"/>
          <w:highlight w:val="none"/>
          <w:lang w:val="en-US" w:eastAsia="zh-CN" w:bidi="ar-SA"/>
        </w:rPr>
        <w:t>60%的比例支持</w:t>
      </w:r>
      <w:r>
        <w:rPr>
          <w:rFonts w:hint="default" w:ascii="Times New Roman" w:hAnsi="Times New Roman" w:eastAsia="仿宋_GB2312" w:cs="Times New Roman"/>
          <w:color w:val="auto"/>
          <w:kern w:val="2"/>
          <w:sz w:val="32"/>
          <w:szCs w:val="32"/>
          <w:highlight w:val="none"/>
          <w:lang w:val="en" w:eastAsia="zh-CN" w:bidi="ar-SA"/>
        </w:rPr>
        <w:t>（</w:t>
      </w:r>
      <w:r>
        <w:rPr>
          <w:rFonts w:hint="eastAsia" w:ascii="Times New Roman" w:hAnsi="Times New Roman" w:eastAsia="仿宋_GB2312" w:cs="Times New Roman"/>
          <w:color w:val="auto"/>
          <w:kern w:val="2"/>
          <w:sz w:val="32"/>
          <w:szCs w:val="32"/>
          <w:highlight w:val="none"/>
          <w:lang w:val="en-US" w:eastAsia="zh-CN" w:bidi="ar-SA"/>
        </w:rPr>
        <w:t>产粮大县方向另行规定</w:t>
      </w:r>
      <w:r>
        <w:rPr>
          <w:rFonts w:hint="default" w:ascii="Times New Roman" w:hAnsi="Times New Roman" w:eastAsia="仿宋_GB2312" w:cs="Times New Roman"/>
          <w:color w:val="auto"/>
          <w:kern w:val="2"/>
          <w:sz w:val="32"/>
          <w:szCs w:val="32"/>
          <w:highlight w:val="none"/>
          <w:lang w:val="en" w:eastAsia="zh-CN" w:bidi="ar-SA"/>
        </w:rPr>
        <w:t>）</w:t>
      </w:r>
      <w:r>
        <w:rPr>
          <w:rFonts w:hint="eastAsia" w:ascii="Times New Roman" w:hAnsi="Times New Roman" w:eastAsia="仿宋_GB2312" w:cs="Times New Roman"/>
          <w:color w:val="auto"/>
          <w:kern w:val="2"/>
          <w:sz w:val="32"/>
          <w:szCs w:val="32"/>
          <w:highlight w:val="none"/>
          <w:lang w:val="en-US" w:eastAsia="zh-CN" w:bidi="ar-SA"/>
        </w:rPr>
        <w:t>，并结合实际支持设备购置；对于普惠养老城企联动专项行动、普惠托育服务专项行动，按照对床位或托位定额补助的方式进行支持。</w:t>
      </w:r>
    </w:p>
    <w:p>
      <w:pPr>
        <w:pStyle w:val="2"/>
        <w:keepNext w:val="0"/>
        <w:keepLines w:val="0"/>
        <w:pageBreakBefore w:val="0"/>
        <w:kinsoku/>
        <w:wordWrap/>
        <w:overflowPunct/>
        <w:topLinePunct w:val="0"/>
        <w:autoSpaceDE/>
        <w:autoSpaceDN/>
        <w:bidi w:val="0"/>
        <w:adjustRightInd/>
        <w:snapToGrid/>
        <w:spacing w:line="540" w:lineRule="exact"/>
        <w:ind w:leftChars="0"/>
        <w:textAlignment w:val="auto"/>
        <w:rPr>
          <w:color w:val="auto"/>
          <w:highlight w:val="none"/>
        </w:rPr>
      </w:pPr>
    </w:p>
    <w:bookmarkEnd w:id="135"/>
    <w:bookmarkEnd w:id="136"/>
    <w:bookmarkEnd w:id="137"/>
    <w:bookmarkEnd w:id="138"/>
    <w:bookmarkEnd w:id="139"/>
    <w:bookmarkEnd w:id="140"/>
    <w:bookmarkEnd w:id="141"/>
    <w:bookmarkEnd w:id="142"/>
    <w:bookmarkEnd w:id="143"/>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bookmarkStart w:id="144" w:name="_Toc26010"/>
      <w:bookmarkStart w:id="145" w:name="_Toc31629"/>
      <w:bookmarkStart w:id="146" w:name="_Toc10584"/>
      <w:bookmarkStart w:id="147" w:name="_Toc21927"/>
      <w:bookmarkStart w:id="148" w:name="_Toc16934"/>
      <w:bookmarkStart w:id="149" w:name="_Toc27108"/>
      <w:bookmarkStart w:id="150" w:name="_Toc21791"/>
      <w:bookmarkStart w:id="151" w:name="_Toc16545"/>
      <w:bookmarkStart w:id="152" w:name="_Toc17781"/>
      <w:bookmarkStart w:id="153" w:name="_Toc13777"/>
      <w:bookmarkStart w:id="154" w:name="_Toc8454"/>
      <w:bookmarkStart w:id="155" w:name="_Toc28002"/>
      <w:bookmarkStart w:id="156" w:name="_Toc30903"/>
      <w:bookmarkStart w:id="157" w:name="_Toc16515"/>
      <w:bookmarkStart w:id="158" w:name="_Toc25488"/>
      <w:r>
        <w:rPr>
          <w:rFonts w:hint="eastAsia" w:ascii="黑体" w:hAnsi="黑体" w:eastAsia="黑体" w:cs="黑体"/>
          <w:color w:val="auto"/>
          <w:sz w:val="32"/>
          <w:szCs w:val="32"/>
          <w:highlight w:val="none"/>
          <w:lang w:eastAsia="zh-CN"/>
        </w:rPr>
        <w:t>二十三、粮食等重要农产品仓储设施专项</w:t>
      </w:r>
      <w:bookmarkEnd w:id="144"/>
      <w:bookmarkEnd w:id="145"/>
      <w:bookmarkEnd w:id="146"/>
      <w:bookmarkEnd w:id="147"/>
      <w:bookmarkEnd w:id="148"/>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1.政策依据</w:t>
      </w:r>
    </w:p>
    <w:p>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国家发展改革委、粮食和储备局《关于印发</w:t>
      </w:r>
      <w:r>
        <w:rPr>
          <w:rFonts w:hint="eastAsia" w:ascii="Times New Roman" w:hAnsi="Times New Roman" w:eastAsia="仿宋_GB2312" w:cs="Times New Roman"/>
          <w:color w:val="auto"/>
          <w:sz w:val="32"/>
          <w:highlight w:val="none"/>
          <w:lang w:val="en-US" w:eastAsia="zh-CN"/>
        </w:rPr>
        <w:t>&lt;</w:t>
      </w:r>
      <w:r>
        <w:rPr>
          <w:rFonts w:hint="default" w:ascii="Times New Roman" w:hAnsi="Times New Roman" w:eastAsia="仿宋_GB2312" w:cs="Times New Roman"/>
          <w:color w:val="auto"/>
          <w:sz w:val="32"/>
          <w:highlight w:val="none"/>
        </w:rPr>
        <w:t>粮食等重要农产品仓储设施中央预算内投资专项管理办法</w:t>
      </w:r>
      <w:r>
        <w:rPr>
          <w:rFonts w:hint="eastAsia" w:ascii="Times New Roman" w:hAnsi="Times New Roman" w:eastAsia="仿宋_GB2312" w:cs="Times New Roman"/>
          <w:color w:val="auto"/>
          <w:sz w:val="32"/>
          <w:highlight w:val="none"/>
          <w:lang w:val="en-US" w:eastAsia="zh-CN"/>
        </w:rPr>
        <w:t>&gt;</w:t>
      </w:r>
      <w:r>
        <w:rPr>
          <w:rFonts w:hint="default" w:ascii="Times New Roman" w:hAnsi="Times New Roman" w:eastAsia="仿宋_GB2312" w:cs="Times New Roman"/>
          <w:color w:val="auto"/>
          <w:sz w:val="32"/>
          <w:highlight w:val="none"/>
        </w:rPr>
        <w:t>的通知》（发改经贸规〔2023〕1756号）。</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2.支持范围</w:t>
      </w:r>
    </w:p>
    <w:bookmarkEnd w:id="123"/>
    <w:bookmarkEnd w:id="149"/>
    <w:bookmarkEnd w:id="150"/>
    <w:bookmarkEnd w:id="151"/>
    <w:bookmarkEnd w:id="152"/>
    <w:bookmarkEnd w:id="153"/>
    <w:bookmarkEnd w:id="154"/>
    <w:bookmarkEnd w:id="155"/>
    <w:bookmarkEnd w:id="156"/>
    <w:bookmarkEnd w:id="157"/>
    <w:bookmarkEnd w:id="158"/>
    <w:p>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lang w:val="en-US" w:eastAsia="zh-CN"/>
        </w:rPr>
        <w:t>（1）</w:t>
      </w:r>
      <w:r>
        <w:rPr>
          <w:rFonts w:hint="default" w:ascii="Times New Roman" w:hAnsi="Times New Roman" w:eastAsia="仿宋_GB2312" w:cs="Times New Roman"/>
          <w:color w:val="auto"/>
          <w:sz w:val="32"/>
          <w:highlight w:val="none"/>
        </w:rPr>
        <w:t>中央储备粮食仓储物流设施项目。</w:t>
      </w:r>
    </w:p>
    <w:p>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2</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中央储备棉花、食糖直属库仓储设施项目。</w:t>
      </w:r>
    </w:p>
    <w:p>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3</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承担地方政府粮食储备任务的粮食仓储设施项目，政策性粮食收购有仓容缺口区域的粮食仓储设施项目，位于粮食物流重点线路、节点上的粮食仓储物流项目，以及应急保障中心项目等。</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3.主要申报条件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2025年重点支持承担地方政府储备任务的粮食仓储设施；地方企业在关键节点的粮食仓储物流设施；粮食仓储设施升级改造</w:t>
      </w:r>
      <w:r>
        <w:rPr>
          <w:rFonts w:hint="default" w:ascii="Times New Roman" w:hAnsi="Times New Roman" w:eastAsia="仿宋_GB2312" w:cs="Times New Roman"/>
          <w:b w:val="0"/>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（1）粮食仓储项目。</w:t>
      </w:r>
      <w:r>
        <w:rPr>
          <w:rFonts w:hint="default" w:ascii="Times New Roman" w:hAnsi="Times New Roman" w:eastAsia="仿宋_GB2312" w:cs="Times New Roman"/>
          <w:b w:val="0"/>
          <w:bCs/>
          <w:color w:val="auto"/>
          <w:sz w:val="32"/>
          <w:szCs w:val="32"/>
          <w:highlight w:val="none"/>
          <w:lang w:val="en-US" w:eastAsia="zh-CN"/>
        </w:rPr>
        <w:t>要承担地方政府储备任务且有相关证明。优先支持仓容缺口较大地区的项目建设。标准化储备仓单个项目原则上不低于2.5万吨；收纳仓不低于1万吨；大中城市成品粮储备库单个项目建仓规模不低于1万吨。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（2）港口、口岸接卸中转能力提升项目。</w:t>
      </w:r>
      <w:r>
        <w:rPr>
          <w:rFonts w:hint="default" w:ascii="Times New Roman" w:hAnsi="Times New Roman" w:eastAsia="仿宋_GB2312" w:cs="Times New Roman"/>
          <w:b w:val="0"/>
          <w:bCs/>
          <w:color w:val="auto"/>
          <w:sz w:val="32"/>
          <w:szCs w:val="32"/>
          <w:highlight w:val="none"/>
          <w:lang w:val="en-US" w:eastAsia="zh-CN"/>
        </w:rPr>
        <w:t>长江沿线（中下游）项目用于快速中转的筒仓等仓容不低于5万吨，可实现的粮食年中转量在100万吨以上；其他内河沿线项目用于快速中转的筒仓等仓容不低于2.5万吨，可实现的粮食年中转量在20万吨以上；口岸项目可实现的粮食年运量在30万吨以上。</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（3）铁路散粮运输项目。</w:t>
      </w:r>
      <w:r>
        <w:rPr>
          <w:rFonts w:hint="default" w:ascii="Times New Roman" w:hAnsi="Times New Roman" w:eastAsia="仿宋_GB2312" w:cs="Times New Roman"/>
          <w:b w:val="0"/>
          <w:bCs/>
          <w:color w:val="auto"/>
          <w:sz w:val="32"/>
          <w:szCs w:val="32"/>
          <w:highlight w:val="none"/>
          <w:lang w:val="en-US" w:eastAsia="zh-CN"/>
        </w:rPr>
        <w:t>项目应位于中转量集中的铁路枢纽节点，发运或接卸点有条件建设铁路散粮专用车或集装箱接发设施，铁路专用线应满足整列到发要求，可实现的粮食年运量在30万吨或4000标准箱以上。</w:t>
      </w:r>
    </w:p>
    <w:p>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
          <w:bCs w:val="0"/>
          <w:color w:val="auto"/>
          <w:sz w:val="32"/>
          <w:szCs w:val="32"/>
          <w:highlight w:val="none"/>
          <w:lang w:val="en-US" w:eastAsia="zh-CN"/>
        </w:rPr>
        <w:t>（4）粮库升级改造项目。</w:t>
      </w:r>
      <w:r>
        <w:rPr>
          <w:rFonts w:hint="default" w:ascii="Times New Roman" w:hAnsi="Times New Roman" w:eastAsia="仿宋_GB2312" w:cs="Times New Roman"/>
          <w:b w:val="0"/>
          <w:bCs/>
          <w:color w:val="auto"/>
          <w:sz w:val="32"/>
          <w:szCs w:val="32"/>
          <w:highlight w:val="none"/>
          <w:lang w:val="en-US" w:eastAsia="zh-CN"/>
        </w:rPr>
        <w:t>涉粮地方企业1998年—2018年建成的承担政府储备任务、完好仓容规模在1万吨及以上库点的粮食仓储设施升级改造项目。重点支持位于粮食物流核心枢纽城市、关键节点的项目。对已纳入整合集并、退城进郊、拆旧建新淘汰等计划库点的现址新建项目不予支持。其中，对2.5万吨及以上规模的库点实施基础设施升级改造与绿色仓储能力提升；对1—2.5万吨规模的库点实施基础设施改造。升级改造的仓型以承担储备功能的平房仓、浅圆仓为主，适当对粮食收纳仓房实施基础设施改造。</w:t>
      </w:r>
    </w:p>
    <w:p>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楷体_GB2312" w:cs="Times New Roman"/>
          <w:b/>
          <w:bCs/>
          <w:color w:val="auto"/>
          <w:sz w:val="32"/>
          <w:szCs w:val="32"/>
          <w:highlight w:val="none"/>
          <w:lang w:eastAsia="zh-CN"/>
        </w:rPr>
      </w:pPr>
      <w:r>
        <w:rPr>
          <w:rFonts w:hint="default" w:ascii="Times New Roman" w:hAnsi="Times New Roman" w:eastAsia="楷体_GB2312" w:cs="Times New Roman"/>
          <w:b/>
          <w:bCs/>
          <w:color w:val="auto"/>
          <w:sz w:val="32"/>
          <w:szCs w:val="32"/>
          <w:highlight w:val="none"/>
          <w:lang w:val="en-US" w:eastAsia="zh-CN"/>
        </w:rPr>
        <w:t>4.</w:t>
      </w:r>
      <w:r>
        <w:rPr>
          <w:rFonts w:hint="default" w:ascii="Times New Roman" w:hAnsi="Times New Roman" w:eastAsia="楷体_GB2312" w:cs="Times New Roman"/>
          <w:b/>
          <w:bCs/>
          <w:color w:val="auto"/>
          <w:sz w:val="32"/>
          <w:szCs w:val="32"/>
          <w:highlight w:val="none"/>
          <w:lang w:eastAsia="zh-CN"/>
        </w:rPr>
        <w:t>支持比例</w:t>
      </w:r>
    </w:p>
    <w:p>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highlight w:val="none"/>
        </w:rPr>
        <w:t>中央储备粮食仓储物流设施项目、中央储备棉花和食糖仓储设施项目补助比例不高于本专项支持建设内容核算投资</w:t>
      </w:r>
      <w:r>
        <w:rPr>
          <w:rFonts w:hint="default" w:ascii="Times New Roman" w:hAnsi="Times New Roman" w:eastAsia="仿宋_GB2312" w:cs="Times New Roman"/>
          <w:color w:val="auto"/>
          <w:sz w:val="32"/>
          <w:highlight w:val="none"/>
          <w:lang w:eastAsia="zh-CN"/>
        </w:rPr>
        <w:t>的</w:t>
      </w:r>
      <w:r>
        <w:rPr>
          <w:rFonts w:hint="default" w:ascii="Times New Roman" w:hAnsi="Times New Roman" w:eastAsia="仿宋_GB2312" w:cs="Times New Roman"/>
          <w:color w:val="auto"/>
          <w:sz w:val="32"/>
          <w:highlight w:val="none"/>
        </w:rPr>
        <w:t>70%</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其他中央企业和地方项目补助比例不高于30%。</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val="en-US" w:eastAsia="zh-CN"/>
        </w:rPr>
      </w:pPr>
    </w:p>
    <w:sectPr>
      <w:footerReference r:id="rId6" w:type="default"/>
      <w:pgSz w:w="11906" w:h="16838"/>
      <w:pgMar w:top="1440" w:right="1803" w:bottom="1440" w:left="1803" w:header="851" w:footer="992" w:gutter="0"/>
      <w:pgNumType w:fmt="decimal" w:start="1"/>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Cambria Math"/>
    <w:panose1 w:val="02040503050406030204"/>
    <w:charset w:val="00"/>
    <w:family w:val="auto"/>
    <w:pitch w:val="default"/>
    <w:sig w:usb0="00000000" w:usb1="00000000" w:usb2="02000000"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MT Extra">
    <w:panose1 w:val="05050102010205020202"/>
    <w:charset w:val="00"/>
    <w:family w:val="auto"/>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true"/>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2ZWJhNWM2YTg0MmVhZjVlNTQ3ZWVkOTNhYzY5ODIifQ=="/>
  </w:docVars>
  <w:rsids>
    <w:rsidRoot w:val="41D50455"/>
    <w:rsid w:val="000778B1"/>
    <w:rsid w:val="003C7F23"/>
    <w:rsid w:val="00421205"/>
    <w:rsid w:val="007404E5"/>
    <w:rsid w:val="0088745D"/>
    <w:rsid w:val="00C133EC"/>
    <w:rsid w:val="00DE744F"/>
    <w:rsid w:val="00EA69AB"/>
    <w:rsid w:val="00F64475"/>
    <w:rsid w:val="0113103C"/>
    <w:rsid w:val="01230CD3"/>
    <w:rsid w:val="01262F5E"/>
    <w:rsid w:val="012F7D30"/>
    <w:rsid w:val="0179218A"/>
    <w:rsid w:val="01A25D95"/>
    <w:rsid w:val="021F25F2"/>
    <w:rsid w:val="02A90E34"/>
    <w:rsid w:val="02A966BB"/>
    <w:rsid w:val="02DD0964"/>
    <w:rsid w:val="02F721FA"/>
    <w:rsid w:val="02FF67B6"/>
    <w:rsid w:val="0317061A"/>
    <w:rsid w:val="034666A3"/>
    <w:rsid w:val="036C51C2"/>
    <w:rsid w:val="03A0756D"/>
    <w:rsid w:val="03AD2E19"/>
    <w:rsid w:val="03BC6AC8"/>
    <w:rsid w:val="03C140A9"/>
    <w:rsid w:val="03FA1B39"/>
    <w:rsid w:val="042743CB"/>
    <w:rsid w:val="04362D4E"/>
    <w:rsid w:val="044907EF"/>
    <w:rsid w:val="0457530B"/>
    <w:rsid w:val="04705E22"/>
    <w:rsid w:val="049F3DFF"/>
    <w:rsid w:val="04A004E3"/>
    <w:rsid w:val="04B9488A"/>
    <w:rsid w:val="04F5595C"/>
    <w:rsid w:val="051A5E0A"/>
    <w:rsid w:val="05336E59"/>
    <w:rsid w:val="05997CF6"/>
    <w:rsid w:val="05AA4BCA"/>
    <w:rsid w:val="05C431E3"/>
    <w:rsid w:val="05CF3488"/>
    <w:rsid w:val="05DE740A"/>
    <w:rsid w:val="060C2314"/>
    <w:rsid w:val="061555D3"/>
    <w:rsid w:val="0634536B"/>
    <w:rsid w:val="063D5468"/>
    <w:rsid w:val="064040A1"/>
    <w:rsid w:val="06533591"/>
    <w:rsid w:val="068D7305"/>
    <w:rsid w:val="068F515C"/>
    <w:rsid w:val="069B1F57"/>
    <w:rsid w:val="06FF21D8"/>
    <w:rsid w:val="07493992"/>
    <w:rsid w:val="074D5C5F"/>
    <w:rsid w:val="077947C1"/>
    <w:rsid w:val="078621D5"/>
    <w:rsid w:val="079B3FD7"/>
    <w:rsid w:val="07AB9C91"/>
    <w:rsid w:val="07B40444"/>
    <w:rsid w:val="07E064F7"/>
    <w:rsid w:val="07F34532"/>
    <w:rsid w:val="07FF7B18"/>
    <w:rsid w:val="088449D4"/>
    <w:rsid w:val="0886079A"/>
    <w:rsid w:val="08896FFB"/>
    <w:rsid w:val="089D6E71"/>
    <w:rsid w:val="08C41542"/>
    <w:rsid w:val="08DE3869"/>
    <w:rsid w:val="08F52DE1"/>
    <w:rsid w:val="0903BB79"/>
    <w:rsid w:val="09132F1E"/>
    <w:rsid w:val="093B779A"/>
    <w:rsid w:val="094123F2"/>
    <w:rsid w:val="09451C8F"/>
    <w:rsid w:val="09CE2C61"/>
    <w:rsid w:val="09DD60D4"/>
    <w:rsid w:val="09E56E3E"/>
    <w:rsid w:val="09F32AA9"/>
    <w:rsid w:val="09F91E2B"/>
    <w:rsid w:val="09FFD0E8"/>
    <w:rsid w:val="09FFE33B"/>
    <w:rsid w:val="0A10006C"/>
    <w:rsid w:val="0A14128A"/>
    <w:rsid w:val="0A3226DB"/>
    <w:rsid w:val="0A421067"/>
    <w:rsid w:val="0A4E6FD4"/>
    <w:rsid w:val="0AA7D858"/>
    <w:rsid w:val="0ABA6B76"/>
    <w:rsid w:val="0ABB6201"/>
    <w:rsid w:val="0AF2146E"/>
    <w:rsid w:val="0AFF1DCA"/>
    <w:rsid w:val="0B063826"/>
    <w:rsid w:val="0B323631"/>
    <w:rsid w:val="0B3958BB"/>
    <w:rsid w:val="0B493FA8"/>
    <w:rsid w:val="0B9918EF"/>
    <w:rsid w:val="0BA151CC"/>
    <w:rsid w:val="0BB86FAF"/>
    <w:rsid w:val="0BBEBF2E"/>
    <w:rsid w:val="0BF80439"/>
    <w:rsid w:val="0C38D508"/>
    <w:rsid w:val="0C4305C6"/>
    <w:rsid w:val="0C4E1BFD"/>
    <w:rsid w:val="0C567FC4"/>
    <w:rsid w:val="0C586DBC"/>
    <w:rsid w:val="0C6B1FA1"/>
    <w:rsid w:val="0C730C00"/>
    <w:rsid w:val="0CA81750"/>
    <w:rsid w:val="0CBD7C56"/>
    <w:rsid w:val="0CC47D2E"/>
    <w:rsid w:val="0CFEF368"/>
    <w:rsid w:val="0D1566C0"/>
    <w:rsid w:val="0D1E18B9"/>
    <w:rsid w:val="0D2B94FE"/>
    <w:rsid w:val="0D920BC5"/>
    <w:rsid w:val="0D995CEB"/>
    <w:rsid w:val="0DBB3FC7"/>
    <w:rsid w:val="0DCF2F35"/>
    <w:rsid w:val="0DF34755"/>
    <w:rsid w:val="0DFBF96E"/>
    <w:rsid w:val="0E0C390D"/>
    <w:rsid w:val="0E1832F0"/>
    <w:rsid w:val="0E4B2F09"/>
    <w:rsid w:val="0E74633C"/>
    <w:rsid w:val="0E7E1F25"/>
    <w:rsid w:val="0E923AC1"/>
    <w:rsid w:val="0ED317B6"/>
    <w:rsid w:val="0EDA5CD5"/>
    <w:rsid w:val="0EDFCB5D"/>
    <w:rsid w:val="0F1B26DC"/>
    <w:rsid w:val="0F23497C"/>
    <w:rsid w:val="0F3B0364"/>
    <w:rsid w:val="0F424AA0"/>
    <w:rsid w:val="0F5009CA"/>
    <w:rsid w:val="0F8CF484"/>
    <w:rsid w:val="0F905A8F"/>
    <w:rsid w:val="0FA56DE2"/>
    <w:rsid w:val="0FB36D73"/>
    <w:rsid w:val="0FBF0014"/>
    <w:rsid w:val="0FBF32CE"/>
    <w:rsid w:val="0FDE8AC4"/>
    <w:rsid w:val="0FE526CC"/>
    <w:rsid w:val="0FFA6A53"/>
    <w:rsid w:val="0FFC4E0A"/>
    <w:rsid w:val="0FFD8604"/>
    <w:rsid w:val="0FFE501A"/>
    <w:rsid w:val="0FFFCA43"/>
    <w:rsid w:val="0FFFDFDD"/>
    <w:rsid w:val="10356C4B"/>
    <w:rsid w:val="10456B22"/>
    <w:rsid w:val="10715686"/>
    <w:rsid w:val="10A670CB"/>
    <w:rsid w:val="10BB67ED"/>
    <w:rsid w:val="10E54180"/>
    <w:rsid w:val="10F535FE"/>
    <w:rsid w:val="112D00C3"/>
    <w:rsid w:val="112F250F"/>
    <w:rsid w:val="1161581F"/>
    <w:rsid w:val="11682D71"/>
    <w:rsid w:val="11715C88"/>
    <w:rsid w:val="117B1E61"/>
    <w:rsid w:val="117C3B92"/>
    <w:rsid w:val="117EDCF3"/>
    <w:rsid w:val="11926ED2"/>
    <w:rsid w:val="11E85D89"/>
    <w:rsid w:val="11E903EC"/>
    <w:rsid w:val="11F73E4A"/>
    <w:rsid w:val="11F9485A"/>
    <w:rsid w:val="12235795"/>
    <w:rsid w:val="126703C0"/>
    <w:rsid w:val="127217FE"/>
    <w:rsid w:val="128B109B"/>
    <w:rsid w:val="129A299E"/>
    <w:rsid w:val="12EB7184"/>
    <w:rsid w:val="1339074F"/>
    <w:rsid w:val="133E78B1"/>
    <w:rsid w:val="138C0D59"/>
    <w:rsid w:val="13995479"/>
    <w:rsid w:val="13DF58ED"/>
    <w:rsid w:val="13F3792A"/>
    <w:rsid w:val="13FF3CFD"/>
    <w:rsid w:val="143B2208"/>
    <w:rsid w:val="14736837"/>
    <w:rsid w:val="148B2D58"/>
    <w:rsid w:val="14A00DC0"/>
    <w:rsid w:val="14BA4ED8"/>
    <w:rsid w:val="14BD1BFF"/>
    <w:rsid w:val="14C51DBB"/>
    <w:rsid w:val="14E81AF8"/>
    <w:rsid w:val="14F125E7"/>
    <w:rsid w:val="15285CFB"/>
    <w:rsid w:val="152D11A0"/>
    <w:rsid w:val="153B5085"/>
    <w:rsid w:val="153E0A4F"/>
    <w:rsid w:val="154A092A"/>
    <w:rsid w:val="155C52C0"/>
    <w:rsid w:val="15601490"/>
    <w:rsid w:val="15650E3E"/>
    <w:rsid w:val="15840935"/>
    <w:rsid w:val="15AB053F"/>
    <w:rsid w:val="15B5478C"/>
    <w:rsid w:val="15BE22DD"/>
    <w:rsid w:val="15BEFC1B"/>
    <w:rsid w:val="15C334AF"/>
    <w:rsid w:val="15CF6276"/>
    <w:rsid w:val="15FB7C13"/>
    <w:rsid w:val="1619760C"/>
    <w:rsid w:val="16321615"/>
    <w:rsid w:val="16A90357"/>
    <w:rsid w:val="16D8CC90"/>
    <w:rsid w:val="16EBCACE"/>
    <w:rsid w:val="16F3403D"/>
    <w:rsid w:val="170C28D5"/>
    <w:rsid w:val="17437E57"/>
    <w:rsid w:val="17733601"/>
    <w:rsid w:val="177F4682"/>
    <w:rsid w:val="17872713"/>
    <w:rsid w:val="17956EE9"/>
    <w:rsid w:val="17B3626A"/>
    <w:rsid w:val="17D411EB"/>
    <w:rsid w:val="17D72539"/>
    <w:rsid w:val="17D79B35"/>
    <w:rsid w:val="17D7BF04"/>
    <w:rsid w:val="17DDDC8D"/>
    <w:rsid w:val="17E32099"/>
    <w:rsid w:val="17EF815F"/>
    <w:rsid w:val="17FBF07A"/>
    <w:rsid w:val="17FF3856"/>
    <w:rsid w:val="17FFE27D"/>
    <w:rsid w:val="18006445"/>
    <w:rsid w:val="182642F5"/>
    <w:rsid w:val="182FF496"/>
    <w:rsid w:val="1836495D"/>
    <w:rsid w:val="18655838"/>
    <w:rsid w:val="18714605"/>
    <w:rsid w:val="187F4932"/>
    <w:rsid w:val="18930172"/>
    <w:rsid w:val="18961A17"/>
    <w:rsid w:val="18C57B50"/>
    <w:rsid w:val="18D672CB"/>
    <w:rsid w:val="18DC042F"/>
    <w:rsid w:val="18F30BEC"/>
    <w:rsid w:val="191666D1"/>
    <w:rsid w:val="197B35B8"/>
    <w:rsid w:val="19AA7972"/>
    <w:rsid w:val="19BFC508"/>
    <w:rsid w:val="19C42525"/>
    <w:rsid w:val="19D72299"/>
    <w:rsid w:val="19E94DC5"/>
    <w:rsid w:val="1A5D567F"/>
    <w:rsid w:val="1A715B8D"/>
    <w:rsid w:val="1A787D99"/>
    <w:rsid w:val="1A7C2E53"/>
    <w:rsid w:val="1A970F65"/>
    <w:rsid w:val="1AA05670"/>
    <w:rsid w:val="1AD36D30"/>
    <w:rsid w:val="1AE3586C"/>
    <w:rsid w:val="1AE552AE"/>
    <w:rsid w:val="1AF4AD6D"/>
    <w:rsid w:val="1AFD020B"/>
    <w:rsid w:val="1B1978D3"/>
    <w:rsid w:val="1B2C71D2"/>
    <w:rsid w:val="1B3AE904"/>
    <w:rsid w:val="1B535C6C"/>
    <w:rsid w:val="1B5B11DF"/>
    <w:rsid w:val="1B5F377C"/>
    <w:rsid w:val="1B6EDD30"/>
    <w:rsid w:val="1B7900EB"/>
    <w:rsid w:val="1B7B7EEC"/>
    <w:rsid w:val="1B9F2C20"/>
    <w:rsid w:val="1BA730C5"/>
    <w:rsid w:val="1BAF2CB7"/>
    <w:rsid w:val="1BCB76FA"/>
    <w:rsid w:val="1BCF231B"/>
    <w:rsid w:val="1BE3FF51"/>
    <w:rsid w:val="1BF72F1A"/>
    <w:rsid w:val="1BFC969A"/>
    <w:rsid w:val="1BFDF7AD"/>
    <w:rsid w:val="1BFF3DC5"/>
    <w:rsid w:val="1C2A2EF9"/>
    <w:rsid w:val="1C2D63C3"/>
    <w:rsid w:val="1C9F15EA"/>
    <w:rsid w:val="1CA67A70"/>
    <w:rsid w:val="1CD52123"/>
    <w:rsid w:val="1CD7F35B"/>
    <w:rsid w:val="1CDE66C2"/>
    <w:rsid w:val="1CEC399C"/>
    <w:rsid w:val="1CF47EFE"/>
    <w:rsid w:val="1D262E7A"/>
    <w:rsid w:val="1D64784F"/>
    <w:rsid w:val="1D6AB811"/>
    <w:rsid w:val="1D885577"/>
    <w:rsid w:val="1D8D27A2"/>
    <w:rsid w:val="1DB7DB5E"/>
    <w:rsid w:val="1DBA7E9F"/>
    <w:rsid w:val="1DBB4A9C"/>
    <w:rsid w:val="1DBC49E7"/>
    <w:rsid w:val="1DBEC345"/>
    <w:rsid w:val="1DBFB930"/>
    <w:rsid w:val="1DBFD7EB"/>
    <w:rsid w:val="1DC6F0FD"/>
    <w:rsid w:val="1DCB606C"/>
    <w:rsid w:val="1DE22252"/>
    <w:rsid w:val="1DE71328"/>
    <w:rsid w:val="1DE776EA"/>
    <w:rsid w:val="1DF3CFC8"/>
    <w:rsid w:val="1DFFCC26"/>
    <w:rsid w:val="1E761CF3"/>
    <w:rsid w:val="1EB61AE3"/>
    <w:rsid w:val="1ECF9E84"/>
    <w:rsid w:val="1EEB6E11"/>
    <w:rsid w:val="1EF5A303"/>
    <w:rsid w:val="1EFF0A9F"/>
    <w:rsid w:val="1EFF71CE"/>
    <w:rsid w:val="1EFF8E70"/>
    <w:rsid w:val="1F2D5E36"/>
    <w:rsid w:val="1F2E20F4"/>
    <w:rsid w:val="1F41175E"/>
    <w:rsid w:val="1F5CFB6D"/>
    <w:rsid w:val="1F5D1CDF"/>
    <w:rsid w:val="1F6BDE64"/>
    <w:rsid w:val="1F6F00BE"/>
    <w:rsid w:val="1F733404"/>
    <w:rsid w:val="1F7B56A2"/>
    <w:rsid w:val="1F7FACD5"/>
    <w:rsid w:val="1F861798"/>
    <w:rsid w:val="1F965217"/>
    <w:rsid w:val="1FAF059A"/>
    <w:rsid w:val="1FB941AC"/>
    <w:rsid w:val="1FBB03F8"/>
    <w:rsid w:val="1FD57A50"/>
    <w:rsid w:val="1FD60406"/>
    <w:rsid w:val="1FD9C458"/>
    <w:rsid w:val="1FDB3DB0"/>
    <w:rsid w:val="1FDEF56C"/>
    <w:rsid w:val="1FEB0B6A"/>
    <w:rsid w:val="1FEF8ABF"/>
    <w:rsid w:val="1FFB9E09"/>
    <w:rsid w:val="1FFD0AAB"/>
    <w:rsid w:val="1FFF07A3"/>
    <w:rsid w:val="2000125A"/>
    <w:rsid w:val="20141123"/>
    <w:rsid w:val="202148E9"/>
    <w:rsid w:val="203474F7"/>
    <w:rsid w:val="2043759F"/>
    <w:rsid w:val="2048357D"/>
    <w:rsid w:val="20ED5C9C"/>
    <w:rsid w:val="20FB038B"/>
    <w:rsid w:val="21057ADC"/>
    <w:rsid w:val="210A298C"/>
    <w:rsid w:val="21171829"/>
    <w:rsid w:val="21387DBC"/>
    <w:rsid w:val="21436F32"/>
    <w:rsid w:val="21B97C2A"/>
    <w:rsid w:val="22025691"/>
    <w:rsid w:val="2250591D"/>
    <w:rsid w:val="22997858"/>
    <w:rsid w:val="22A72A97"/>
    <w:rsid w:val="22AA0566"/>
    <w:rsid w:val="22D0084A"/>
    <w:rsid w:val="22E77320"/>
    <w:rsid w:val="22F37EB3"/>
    <w:rsid w:val="23545BA9"/>
    <w:rsid w:val="235B5981"/>
    <w:rsid w:val="23BF4D99"/>
    <w:rsid w:val="23C7F630"/>
    <w:rsid w:val="23E7209B"/>
    <w:rsid w:val="23E913B7"/>
    <w:rsid w:val="23EFE8C2"/>
    <w:rsid w:val="23F57C65"/>
    <w:rsid w:val="23F9CCEA"/>
    <w:rsid w:val="24070F2A"/>
    <w:rsid w:val="241E7061"/>
    <w:rsid w:val="2465793A"/>
    <w:rsid w:val="246B147B"/>
    <w:rsid w:val="24D413FC"/>
    <w:rsid w:val="24D898EB"/>
    <w:rsid w:val="24EECF10"/>
    <w:rsid w:val="251D10E5"/>
    <w:rsid w:val="25367AE0"/>
    <w:rsid w:val="257AB64C"/>
    <w:rsid w:val="25816E68"/>
    <w:rsid w:val="25AF8B33"/>
    <w:rsid w:val="25D66A83"/>
    <w:rsid w:val="25DE50B0"/>
    <w:rsid w:val="25DFF8DC"/>
    <w:rsid w:val="25FCFC79"/>
    <w:rsid w:val="25FD7C94"/>
    <w:rsid w:val="265E69A8"/>
    <w:rsid w:val="26E40EF9"/>
    <w:rsid w:val="26FA75EB"/>
    <w:rsid w:val="26FF388A"/>
    <w:rsid w:val="26FF85F4"/>
    <w:rsid w:val="273F3D93"/>
    <w:rsid w:val="273F5035"/>
    <w:rsid w:val="276F3C2A"/>
    <w:rsid w:val="277031C0"/>
    <w:rsid w:val="2771DC70"/>
    <w:rsid w:val="27BAA1C6"/>
    <w:rsid w:val="27C2631B"/>
    <w:rsid w:val="27D73747"/>
    <w:rsid w:val="27EF8F63"/>
    <w:rsid w:val="27F34331"/>
    <w:rsid w:val="27F6CE43"/>
    <w:rsid w:val="27F7019E"/>
    <w:rsid w:val="27FA2DD6"/>
    <w:rsid w:val="27FE1938"/>
    <w:rsid w:val="27FEB991"/>
    <w:rsid w:val="28075A4D"/>
    <w:rsid w:val="280F5D63"/>
    <w:rsid w:val="283C3D7D"/>
    <w:rsid w:val="28465766"/>
    <w:rsid w:val="284B362C"/>
    <w:rsid w:val="286F37FD"/>
    <w:rsid w:val="28705EFD"/>
    <w:rsid w:val="28715D9F"/>
    <w:rsid w:val="28716520"/>
    <w:rsid w:val="287C43A1"/>
    <w:rsid w:val="28956427"/>
    <w:rsid w:val="28E86AF8"/>
    <w:rsid w:val="28F72A74"/>
    <w:rsid w:val="28FF4898"/>
    <w:rsid w:val="29023ED6"/>
    <w:rsid w:val="290F57D5"/>
    <w:rsid w:val="2931211D"/>
    <w:rsid w:val="293DD820"/>
    <w:rsid w:val="2977380A"/>
    <w:rsid w:val="297D07EC"/>
    <w:rsid w:val="299B6E64"/>
    <w:rsid w:val="29A836D0"/>
    <w:rsid w:val="29BFACC9"/>
    <w:rsid w:val="29C128F9"/>
    <w:rsid w:val="29CF0FDC"/>
    <w:rsid w:val="29D1673F"/>
    <w:rsid w:val="29D80CB5"/>
    <w:rsid w:val="29EA575A"/>
    <w:rsid w:val="29EF8DB8"/>
    <w:rsid w:val="2A2B6368"/>
    <w:rsid w:val="2A2C2B71"/>
    <w:rsid w:val="2A65B63A"/>
    <w:rsid w:val="2A7A15A9"/>
    <w:rsid w:val="2A7FEC64"/>
    <w:rsid w:val="2A8200F6"/>
    <w:rsid w:val="2A845124"/>
    <w:rsid w:val="2AA00A6D"/>
    <w:rsid w:val="2ADA360F"/>
    <w:rsid w:val="2AFF2A4A"/>
    <w:rsid w:val="2B0D1F60"/>
    <w:rsid w:val="2B318216"/>
    <w:rsid w:val="2B3A5D1C"/>
    <w:rsid w:val="2B486187"/>
    <w:rsid w:val="2B6B7CB2"/>
    <w:rsid w:val="2B7A3FA9"/>
    <w:rsid w:val="2B8FF267"/>
    <w:rsid w:val="2B994997"/>
    <w:rsid w:val="2B9F0BEA"/>
    <w:rsid w:val="2BA2542F"/>
    <w:rsid w:val="2BBA02EF"/>
    <w:rsid w:val="2BBBE738"/>
    <w:rsid w:val="2BD992C7"/>
    <w:rsid w:val="2BDB7E76"/>
    <w:rsid w:val="2BFB01F5"/>
    <w:rsid w:val="2C03314C"/>
    <w:rsid w:val="2C374569"/>
    <w:rsid w:val="2C46454D"/>
    <w:rsid w:val="2C723BAA"/>
    <w:rsid w:val="2C7A6AB7"/>
    <w:rsid w:val="2C8862D1"/>
    <w:rsid w:val="2CA25F9B"/>
    <w:rsid w:val="2CB77F2B"/>
    <w:rsid w:val="2CFECD75"/>
    <w:rsid w:val="2D4537D1"/>
    <w:rsid w:val="2D629D60"/>
    <w:rsid w:val="2DA06F0D"/>
    <w:rsid w:val="2DAA6E2A"/>
    <w:rsid w:val="2DB7119F"/>
    <w:rsid w:val="2DB77D65"/>
    <w:rsid w:val="2DBF569A"/>
    <w:rsid w:val="2DBFA027"/>
    <w:rsid w:val="2DDF6E5C"/>
    <w:rsid w:val="2DE4266C"/>
    <w:rsid w:val="2DE5B2C8"/>
    <w:rsid w:val="2DEFF95B"/>
    <w:rsid w:val="2DFA2920"/>
    <w:rsid w:val="2DFFD09C"/>
    <w:rsid w:val="2E5FB496"/>
    <w:rsid w:val="2E650098"/>
    <w:rsid w:val="2E6F0123"/>
    <w:rsid w:val="2E7700D7"/>
    <w:rsid w:val="2E792937"/>
    <w:rsid w:val="2E8E1A96"/>
    <w:rsid w:val="2EB2065A"/>
    <w:rsid w:val="2EB35374"/>
    <w:rsid w:val="2EEDC5A0"/>
    <w:rsid w:val="2EF06D3C"/>
    <w:rsid w:val="2EFA87C9"/>
    <w:rsid w:val="2EFD624E"/>
    <w:rsid w:val="2F061FE4"/>
    <w:rsid w:val="2F140956"/>
    <w:rsid w:val="2F2CC178"/>
    <w:rsid w:val="2F3A865D"/>
    <w:rsid w:val="2F3ED977"/>
    <w:rsid w:val="2F432B86"/>
    <w:rsid w:val="2F456BA5"/>
    <w:rsid w:val="2F53DA07"/>
    <w:rsid w:val="2F5B577F"/>
    <w:rsid w:val="2F5EF9E3"/>
    <w:rsid w:val="2F632D57"/>
    <w:rsid w:val="2F679622"/>
    <w:rsid w:val="2F69392B"/>
    <w:rsid w:val="2F693F2B"/>
    <w:rsid w:val="2F6FB6A0"/>
    <w:rsid w:val="2F7258A0"/>
    <w:rsid w:val="2F7A6327"/>
    <w:rsid w:val="2F7D1589"/>
    <w:rsid w:val="2F7DF5DB"/>
    <w:rsid w:val="2F7DF9BA"/>
    <w:rsid w:val="2F7EAA29"/>
    <w:rsid w:val="2F82001C"/>
    <w:rsid w:val="2F8D4D64"/>
    <w:rsid w:val="2F98E825"/>
    <w:rsid w:val="2F9A5EA3"/>
    <w:rsid w:val="2F9F4C71"/>
    <w:rsid w:val="2FA01B2B"/>
    <w:rsid w:val="2FADF967"/>
    <w:rsid w:val="2FC15BA8"/>
    <w:rsid w:val="2FC56EB5"/>
    <w:rsid w:val="2FCD6886"/>
    <w:rsid w:val="2FD0BEC5"/>
    <w:rsid w:val="2FDB7460"/>
    <w:rsid w:val="2FDCE359"/>
    <w:rsid w:val="2FDDC043"/>
    <w:rsid w:val="2FDE8E15"/>
    <w:rsid w:val="2FE57399"/>
    <w:rsid w:val="2FF13783"/>
    <w:rsid w:val="2FF3B3CE"/>
    <w:rsid w:val="2FFAF2B2"/>
    <w:rsid w:val="2FFB6AEF"/>
    <w:rsid w:val="2FFEEDDA"/>
    <w:rsid w:val="2FFF0E13"/>
    <w:rsid w:val="2FFF1AC5"/>
    <w:rsid w:val="2FFF99E9"/>
    <w:rsid w:val="2FFFA17C"/>
    <w:rsid w:val="30071953"/>
    <w:rsid w:val="307E4B23"/>
    <w:rsid w:val="30AD3043"/>
    <w:rsid w:val="30CBA845"/>
    <w:rsid w:val="30F9A791"/>
    <w:rsid w:val="31065307"/>
    <w:rsid w:val="312D31EA"/>
    <w:rsid w:val="315E8988"/>
    <w:rsid w:val="3196C853"/>
    <w:rsid w:val="319F1AA0"/>
    <w:rsid w:val="31DA8EFD"/>
    <w:rsid w:val="31DF3EF1"/>
    <w:rsid w:val="31F87ACD"/>
    <w:rsid w:val="31FF2CD1"/>
    <w:rsid w:val="325761A9"/>
    <w:rsid w:val="325F1E09"/>
    <w:rsid w:val="326F61C5"/>
    <w:rsid w:val="3298652D"/>
    <w:rsid w:val="329A9A9E"/>
    <w:rsid w:val="32A951B6"/>
    <w:rsid w:val="32AC3044"/>
    <w:rsid w:val="32D50879"/>
    <w:rsid w:val="32FF3846"/>
    <w:rsid w:val="33607E09"/>
    <w:rsid w:val="336558E7"/>
    <w:rsid w:val="33895361"/>
    <w:rsid w:val="33AB34BB"/>
    <w:rsid w:val="33BA5076"/>
    <w:rsid w:val="33D544DA"/>
    <w:rsid w:val="33DB1D47"/>
    <w:rsid w:val="33DF7622"/>
    <w:rsid w:val="33DFD017"/>
    <w:rsid w:val="33EB6107"/>
    <w:rsid w:val="33EC6F7E"/>
    <w:rsid w:val="33FB669D"/>
    <w:rsid w:val="33FE1C64"/>
    <w:rsid w:val="33FFBE37"/>
    <w:rsid w:val="340560BF"/>
    <w:rsid w:val="343796AE"/>
    <w:rsid w:val="344F4433"/>
    <w:rsid w:val="345D0E40"/>
    <w:rsid w:val="346ACD20"/>
    <w:rsid w:val="346E6765"/>
    <w:rsid w:val="348A65DE"/>
    <w:rsid w:val="34981020"/>
    <w:rsid w:val="34AF7AD5"/>
    <w:rsid w:val="34BDD83A"/>
    <w:rsid w:val="34D369B6"/>
    <w:rsid w:val="34DF487F"/>
    <w:rsid w:val="34EA37BC"/>
    <w:rsid w:val="3507D862"/>
    <w:rsid w:val="35505FDF"/>
    <w:rsid w:val="35616843"/>
    <w:rsid w:val="357FE945"/>
    <w:rsid w:val="35862EA7"/>
    <w:rsid w:val="358E584A"/>
    <w:rsid w:val="35A9387D"/>
    <w:rsid w:val="35DDE804"/>
    <w:rsid w:val="35DE2885"/>
    <w:rsid w:val="35E81B6F"/>
    <w:rsid w:val="35ED0A09"/>
    <w:rsid w:val="35F4B47B"/>
    <w:rsid w:val="35F8594B"/>
    <w:rsid w:val="35FA13E3"/>
    <w:rsid w:val="35FB9285"/>
    <w:rsid w:val="35FF6EDA"/>
    <w:rsid w:val="364B542C"/>
    <w:rsid w:val="366E182A"/>
    <w:rsid w:val="366F40AB"/>
    <w:rsid w:val="3675448B"/>
    <w:rsid w:val="367762C4"/>
    <w:rsid w:val="367E5276"/>
    <w:rsid w:val="369A4555"/>
    <w:rsid w:val="36BF4711"/>
    <w:rsid w:val="36DF1499"/>
    <w:rsid w:val="36FCD9BC"/>
    <w:rsid w:val="36FF82E7"/>
    <w:rsid w:val="36FFA3CC"/>
    <w:rsid w:val="36FFF50C"/>
    <w:rsid w:val="372B2D96"/>
    <w:rsid w:val="372E0B45"/>
    <w:rsid w:val="373F3368"/>
    <w:rsid w:val="37458E67"/>
    <w:rsid w:val="37523C9A"/>
    <w:rsid w:val="376D87A7"/>
    <w:rsid w:val="37730201"/>
    <w:rsid w:val="377B3205"/>
    <w:rsid w:val="379B2DE8"/>
    <w:rsid w:val="37A67931"/>
    <w:rsid w:val="37AC02F0"/>
    <w:rsid w:val="37BB15E2"/>
    <w:rsid w:val="37BF0880"/>
    <w:rsid w:val="37BF1AFF"/>
    <w:rsid w:val="37BFD077"/>
    <w:rsid w:val="37C94E5C"/>
    <w:rsid w:val="37D6D1BA"/>
    <w:rsid w:val="37DF9833"/>
    <w:rsid w:val="37E62398"/>
    <w:rsid w:val="37E84A32"/>
    <w:rsid w:val="37F36629"/>
    <w:rsid w:val="37F3C56E"/>
    <w:rsid w:val="37F59A95"/>
    <w:rsid w:val="37F5DD18"/>
    <w:rsid w:val="37F6CA0D"/>
    <w:rsid w:val="37FB3AC5"/>
    <w:rsid w:val="37FBB7A8"/>
    <w:rsid w:val="37FBDD87"/>
    <w:rsid w:val="37FD5EAF"/>
    <w:rsid w:val="37FE28CD"/>
    <w:rsid w:val="37FEBC9C"/>
    <w:rsid w:val="37FF4767"/>
    <w:rsid w:val="37FFA66E"/>
    <w:rsid w:val="37FFEECD"/>
    <w:rsid w:val="380A0403"/>
    <w:rsid w:val="3815133E"/>
    <w:rsid w:val="38186640"/>
    <w:rsid w:val="381A1E13"/>
    <w:rsid w:val="381E39B0"/>
    <w:rsid w:val="38364174"/>
    <w:rsid w:val="383C18CC"/>
    <w:rsid w:val="3844374F"/>
    <w:rsid w:val="38947707"/>
    <w:rsid w:val="38952DB7"/>
    <w:rsid w:val="389F6536"/>
    <w:rsid w:val="389F6768"/>
    <w:rsid w:val="38CDD43E"/>
    <w:rsid w:val="38CE6762"/>
    <w:rsid w:val="38D3CBE2"/>
    <w:rsid w:val="38DF89F4"/>
    <w:rsid w:val="38FA0B68"/>
    <w:rsid w:val="38FE4CC2"/>
    <w:rsid w:val="38FE5C10"/>
    <w:rsid w:val="39073699"/>
    <w:rsid w:val="391B0D04"/>
    <w:rsid w:val="3942D1D1"/>
    <w:rsid w:val="39471527"/>
    <w:rsid w:val="394C4A21"/>
    <w:rsid w:val="39546085"/>
    <w:rsid w:val="396256B9"/>
    <w:rsid w:val="396FC500"/>
    <w:rsid w:val="39941F54"/>
    <w:rsid w:val="39943F72"/>
    <w:rsid w:val="39944F99"/>
    <w:rsid w:val="39AFB6F1"/>
    <w:rsid w:val="39D111A4"/>
    <w:rsid w:val="39DA3153"/>
    <w:rsid w:val="39DD5503"/>
    <w:rsid w:val="39EF2DB1"/>
    <w:rsid w:val="39FB5D7A"/>
    <w:rsid w:val="3A272467"/>
    <w:rsid w:val="3A655577"/>
    <w:rsid w:val="3A993FA0"/>
    <w:rsid w:val="3AB38078"/>
    <w:rsid w:val="3ABB5007"/>
    <w:rsid w:val="3AC36E7B"/>
    <w:rsid w:val="3ACF27BD"/>
    <w:rsid w:val="3AED215A"/>
    <w:rsid w:val="3AF7AF13"/>
    <w:rsid w:val="3AFF56D9"/>
    <w:rsid w:val="3AFF7978"/>
    <w:rsid w:val="3AFFFBEC"/>
    <w:rsid w:val="3B1AE84D"/>
    <w:rsid w:val="3B274616"/>
    <w:rsid w:val="3B377E3D"/>
    <w:rsid w:val="3B3E1292"/>
    <w:rsid w:val="3B6F4C2B"/>
    <w:rsid w:val="3B7B3BED"/>
    <w:rsid w:val="3B7CD613"/>
    <w:rsid w:val="3B7D828A"/>
    <w:rsid w:val="3BA12518"/>
    <w:rsid w:val="3BB02557"/>
    <w:rsid w:val="3BB05647"/>
    <w:rsid w:val="3BB352C5"/>
    <w:rsid w:val="3BB659F7"/>
    <w:rsid w:val="3BB682F8"/>
    <w:rsid w:val="3BBA0B20"/>
    <w:rsid w:val="3BBD4285"/>
    <w:rsid w:val="3BBEA73C"/>
    <w:rsid w:val="3BBF618B"/>
    <w:rsid w:val="3BC5A4E6"/>
    <w:rsid w:val="3BCF1C20"/>
    <w:rsid w:val="3BDEFF60"/>
    <w:rsid w:val="3BDF517C"/>
    <w:rsid w:val="3BE96EDB"/>
    <w:rsid w:val="3BEE158B"/>
    <w:rsid w:val="3BF3EDF4"/>
    <w:rsid w:val="3BF62B8C"/>
    <w:rsid w:val="3BF71C57"/>
    <w:rsid w:val="3BFB1163"/>
    <w:rsid w:val="3BFB5055"/>
    <w:rsid w:val="3BFD4CF4"/>
    <w:rsid w:val="3BFD91B4"/>
    <w:rsid w:val="3BFDBEB2"/>
    <w:rsid w:val="3BFE4FB6"/>
    <w:rsid w:val="3BFEF9B0"/>
    <w:rsid w:val="3C497475"/>
    <w:rsid w:val="3C6B5BF4"/>
    <w:rsid w:val="3C7ED1C0"/>
    <w:rsid w:val="3C7F4DEF"/>
    <w:rsid w:val="3C7F93A0"/>
    <w:rsid w:val="3C913414"/>
    <w:rsid w:val="3CAB1D9F"/>
    <w:rsid w:val="3CAFE040"/>
    <w:rsid w:val="3CBFE743"/>
    <w:rsid w:val="3CCD0C34"/>
    <w:rsid w:val="3CCD3647"/>
    <w:rsid w:val="3CD372D5"/>
    <w:rsid w:val="3CD6D721"/>
    <w:rsid w:val="3CE31D46"/>
    <w:rsid w:val="3CE5081D"/>
    <w:rsid w:val="3CEC6108"/>
    <w:rsid w:val="3CF77D9B"/>
    <w:rsid w:val="3D191D2A"/>
    <w:rsid w:val="3D581F26"/>
    <w:rsid w:val="3D77BD51"/>
    <w:rsid w:val="3D7D8A70"/>
    <w:rsid w:val="3D7E1052"/>
    <w:rsid w:val="3D87F14F"/>
    <w:rsid w:val="3D999D95"/>
    <w:rsid w:val="3D9F263F"/>
    <w:rsid w:val="3D9FA3F2"/>
    <w:rsid w:val="3DA84EE1"/>
    <w:rsid w:val="3DB8ECB1"/>
    <w:rsid w:val="3DBA3595"/>
    <w:rsid w:val="3DBFCD4D"/>
    <w:rsid w:val="3DD78DDE"/>
    <w:rsid w:val="3DDC17E1"/>
    <w:rsid w:val="3DF77EC3"/>
    <w:rsid w:val="3DFA06D7"/>
    <w:rsid w:val="3DFD3FCD"/>
    <w:rsid w:val="3DFD8F50"/>
    <w:rsid w:val="3DFE91DD"/>
    <w:rsid w:val="3DFF0100"/>
    <w:rsid w:val="3DFF4BBB"/>
    <w:rsid w:val="3DFFC1B5"/>
    <w:rsid w:val="3E0B1988"/>
    <w:rsid w:val="3E13578F"/>
    <w:rsid w:val="3E1443E0"/>
    <w:rsid w:val="3E2515C5"/>
    <w:rsid w:val="3E2FDDBF"/>
    <w:rsid w:val="3E32C5E1"/>
    <w:rsid w:val="3E372E53"/>
    <w:rsid w:val="3E516E2E"/>
    <w:rsid w:val="3E772AFC"/>
    <w:rsid w:val="3E7759C2"/>
    <w:rsid w:val="3E7AC91D"/>
    <w:rsid w:val="3E7B6AD5"/>
    <w:rsid w:val="3E922F18"/>
    <w:rsid w:val="3EAFA12C"/>
    <w:rsid w:val="3EB31986"/>
    <w:rsid w:val="3EBCDF64"/>
    <w:rsid w:val="3ED9F9A7"/>
    <w:rsid w:val="3EDE7E43"/>
    <w:rsid w:val="3EDF4BA1"/>
    <w:rsid w:val="3EDFC2B4"/>
    <w:rsid w:val="3EDFED8F"/>
    <w:rsid w:val="3EDFF637"/>
    <w:rsid w:val="3EE77A8D"/>
    <w:rsid w:val="3EECF1E2"/>
    <w:rsid w:val="3EEE117F"/>
    <w:rsid w:val="3EEE92A6"/>
    <w:rsid w:val="3EEEB950"/>
    <w:rsid w:val="3EEFF934"/>
    <w:rsid w:val="3EF64373"/>
    <w:rsid w:val="3EFA0D44"/>
    <w:rsid w:val="3EFCC941"/>
    <w:rsid w:val="3EFD9100"/>
    <w:rsid w:val="3EFDA083"/>
    <w:rsid w:val="3EFF20E3"/>
    <w:rsid w:val="3F047DCB"/>
    <w:rsid w:val="3F0C65C3"/>
    <w:rsid w:val="3F2705C2"/>
    <w:rsid w:val="3F2758F9"/>
    <w:rsid w:val="3F304919"/>
    <w:rsid w:val="3F33447E"/>
    <w:rsid w:val="3F3CF524"/>
    <w:rsid w:val="3F3DC4DB"/>
    <w:rsid w:val="3F3E5B5D"/>
    <w:rsid w:val="3F4B60C8"/>
    <w:rsid w:val="3F529F7A"/>
    <w:rsid w:val="3F57BF8C"/>
    <w:rsid w:val="3F5D18A1"/>
    <w:rsid w:val="3F5E1351"/>
    <w:rsid w:val="3F6D8EE0"/>
    <w:rsid w:val="3F6F1D0A"/>
    <w:rsid w:val="3F6F8626"/>
    <w:rsid w:val="3F6FB7FE"/>
    <w:rsid w:val="3F76F8DA"/>
    <w:rsid w:val="3F77C566"/>
    <w:rsid w:val="3F795D0C"/>
    <w:rsid w:val="3F79F0DB"/>
    <w:rsid w:val="3F7E83D6"/>
    <w:rsid w:val="3F7F5913"/>
    <w:rsid w:val="3F7FB9F5"/>
    <w:rsid w:val="3F7FF69D"/>
    <w:rsid w:val="3F997558"/>
    <w:rsid w:val="3F9E6EC4"/>
    <w:rsid w:val="3FA7AABF"/>
    <w:rsid w:val="3FB6F8A4"/>
    <w:rsid w:val="3FB729E8"/>
    <w:rsid w:val="3FB7DF01"/>
    <w:rsid w:val="3FBAAD03"/>
    <w:rsid w:val="3FBBC6ED"/>
    <w:rsid w:val="3FBDA482"/>
    <w:rsid w:val="3FBEF6C6"/>
    <w:rsid w:val="3FBF3EBD"/>
    <w:rsid w:val="3FBF8F14"/>
    <w:rsid w:val="3FCBFB1C"/>
    <w:rsid w:val="3FD17303"/>
    <w:rsid w:val="3FD78C4B"/>
    <w:rsid w:val="3FDAC3B2"/>
    <w:rsid w:val="3FDF3568"/>
    <w:rsid w:val="3FE30D13"/>
    <w:rsid w:val="3FE70AC5"/>
    <w:rsid w:val="3FE7B3C0"/>
    <w:rsid w:val="3FE7C1C6"/>
    <w:rsid w:val="3FE7D001"/>
    <w:rsid w:val="3FEDEAC1"/>
    <w:rsid w:val="3FF34A26"/>
    <w:rsid w:val="3FF5014D"/>
    <w:rsid w:val="3FF65A08"/>
    <w:rsid w:val="3FF66D38"/>
    <w:rsid w:val="3FF67939"/>
    <w:rsid w:val="3FF72BDC"/>
    <w:rsid w:val="3FF92DC0"/>
    <w:rsid w:val="3FF9E635"/>
    <w:rsid w:val="3FFA1BCC"/>
    <w:rsid w:val="3FFA4C99"/>
    <w:rsid w:val="3FFA8667"/>
    <w:rsid w:val="3FFB8338"/>
    <w:rsid w:val="3FFB8E45"/>
    <w:rsid w:val="3FFD30F4"/>
    <w:rsid w:val="3FFDE960"/>
    <w:rsid w:val="3FFE56A9"/>
    <w:rsid w:val="3FFEE33B"/>
    <w:rsid w:val="3FFEE89F"/>
    <w:rsid w:val="3FFF24E2"/>
    <w:rsid w:val="3FFF29D3"/>
    <w:rsid w:val="3FFF4AA6"/>
    <w:rsid w:val="3FFF66FB"/>
    <w:rsid w:val="3FFF8AB7"/>
    <w:rsid w:val="3FFF974D"/>
    <w:rsid w:val="3FFF9D88"/>
    <w:rsid w:val="3FFFE3DE"/>
    <w:rsid w:val="401A3417"/>
    <w:rsid w:val="40292B75"/>
    <w:rsid w:val="404C2758"/>
    <w:rsid w:val="405E0011"/>
    <w:rsid w:val="40741485"/>
    <w:rsid w:val="40814A4A"/>
    <w:rsid w:val="408963AE"/>
    <w:rsid w:val="408D041C"/>
    <w:rsid w:val="40CE26C7"/>
    <w:rsid w:val="40EA27B9"/>
    <w:rsid w:val="40EF79B3"/>
    <w:rsid w:val="417F13C3"/>
    <w:rsid w:val="41AD4790"/>
    <w:rsid w:val="41BB6BFF"/>
    <w:rsid w:val="41BC620E"/>
    <w:rsid w:val="41D50455"/>
    <w:rsid w:val="41D90766"/>
    <w:rsid w:val="41E55D6F"/>
    <w:rsid w:val="41FC1B9E"/>
    <w:rsid w:val="423B7514"/>
    <w:rsid w:val="42445D94"/>
    <w:rsid w:val="425001E4"/>
    <w:rsid w:val="4267018F"/>
    <w:rsid w:val="42AF08C7"/>
    <w:rsid w:val="42BC5459"/>
    <w:rsid w:val="42BE58AD"/>
    <w:rsid w:val="42CC1AD6"/>
    <w:rsid w:val="42CE7F3E"/>
    <w:rsid w:val="42DD289A"/>
    <w:rsid w:val="43157F8E"/>
    <w:rsid w:val="43362BE2"/>
    <w:rsid w:val="43476724"/>
    <w:rsid w:val="43490CD8"/>
    <w:rsid w:val="434B41FF"/>
    <w:rsid w:val="43697F5E"/>
    <w:rsid w:val="438D02AC"/>
    <w:rsid w:val="43A45704"/>
    <w:rsid w:val="43A71D85"/>
    <w:rsid w:val="43D27C2F"/>
    <w:rsid w:val="43DD3228"/>
    <w:rsid w:val="43F20575"/>
    <w:rsid w:val="43FABE4D"/>
    <w:rsid w:val="43FD0C9C"/>
    <w:rsid w:val="43FEC781"/>
    <w:rsid w:val="442745F7"/>
    <w:rsid w:val="44386F1E"/>
    <w:rsid w:val="44636A4B"/>
    <w:rsid w:val="44681EE8"/>
    <w:rsid w:val="446A67B2"/>
    <w:rsid w:val="44A418F9"/>
    <w:rsid w:val="44BA57F8"/>
    <w:rsid w:val="44FF3CFA"/>
    <w:rsid w:val="452879F8"/>
    <w:rsid w:val="4545031A"/>
    <w:rsid w:val="45565BDA"/>
    <w:rsid w:val="45796D17"/>
    <w:rsid w:val="457DBF8D"/>
    <w:rsid w:val="458E069C"/>
    <w:rsid w:val="45970CAC"/>
    <w:rsid w:val="459A511D"/>
    <w:rsid w:val="45B35306"/>
    <w:rsid w:val="45EFBCCE"/>
    <w:rsid w:val="45FBC982"/>
    <w:rsid w:val="4603443D"/>
    <w:rsid w:val="461F3AA3"/>
    <w:rsid w:val="464F57A9"/>
    <w:rsid w:val="4668009D"/>
    <w:rsid w:val="46742148"/>
    <w:rsid w:val="46784E3B"/>
    <w:rsid w:val="467DA97E"/>
    <w:rsid w:val="46855E8E"/>
    <w:rsid w:val="469066C7"/>
    <w:rsid w:val="46E94BB6"/>
    <w:rsid w:val="46F07563"/>
    <w:rsid w:val="46FD857C"/>
    <w:rsid w:val="46FFD7C9"/>
    <w:rsid w:val="471A6E3D"/>
    <w:rsid w:val="471C4211"/>
    <w:rsid w:val="472A1538"/>
    <w:rsid w:val="47565535"/>
    <w:rsid w:val="477B57F6"/>
    <w:rsid w:val="477B5A7B"/>
    <w:rsid w:val="477D40EC"/>
    <w:rsid w:val="47AE6F73"/>
    <w:rsid w:val="47BB17A8"/>
    <w:rsid w:val="47BD5A51"/>
    <w:rsid w:val="47BF6450"/>
    <w:rsid w:val="47D85634"/>
    <w:rsid w:val="47DED967"/>
    <w:rsid w:val="47FB277D"/>
    <w:rsid w:val="47FB9323"/>
    <w:rsid w:val="47FC447A"/>
    <w:rsid w:val="47FD6252"/>
    <w:rsid w:val="47FE6599"/>
    <w:rsid w:val="48013250"/>
    <w:rsid w:val="480E1C69"/>
    <w:rsid w:val="48360E36"/>
    <w:rsid w:val="484858EC"/>
    <w:rsid w:val="48530824"/>
    <w:rsid w:val="48772F68"/>
    <w:rsid w:val="48833A8D"/>
    <w:rsid w:val="4893747C"/>
    <w:rsid w:val="489F1EEF"/>
    <w:rsid w:val="492C5519"/>
    <w:rsid w:val="493B6B53"/>
    <w:rsid w:val="49584B52"/>
    <w:rsid w:val="498A49FD"/>
    <w:rsid w:val="498A7FBE"/>
    <w:rsid w:val="499C3C3E"/>
    <w:rsid w:val="499E2D38"/>
    <w:rsid w:val="49D81FAE"/>
    <w:rsid w:val="4A1721F2"/>
    <w:rsid w:val="4A2D1408"/>
    <w:rsid w:val="4A325154"/>
    <w:rsid w:val="4A621E1C"/>
    <w:rsid w:val="4A7BC4AE"/>
    <w:rsid w:val="4A8A7974"/>
    <w:rsid w:val="4A907FDC"/>
    <w:rsid w:val="4A9D5D80"/>
    <w:rsid w:val="4AB336CD"/>
    <w:rsid w:val="4AE86F08"/>
    <w:rsid w:val="4AEB71B6"/>
    <w:rsid w:val="4AFB8437"/>
    <w:rsid w:val="4B1550C2"/>
    <w:rsid w:val="4B18120C"/>
    <w:rsid w:val="4B3A589F"/>
    <w:rsid w:val="4B426454"/>
    <w:rsid w:val="4B4D2555"/>
    <w:rsid w:val="4B57EAF0"/>
    <w:rsid w:val="4B592791"/>
    <w:rsid w:val="4B6F3668"/>
    <w:rsid w:val="4B7372FA"/>
    <w:rsid w:val="4B7A511E"/>
    <w:rsid w:val="4B7A7216"/>
    <w:rsid w:val="4B981D14"/>
    <w:rsid w:val="4B9E6E14"/>
    <w:rsid w:val="4B9FE943"/>
    <w:rsid w:val="4BA5350F"/>
    <w:rsid w:val="4BA85C5F"/>
    <w:rsid w:val="4BACE574"/>
    <w:rsid w:val="4BAD499B"/>
    <w:rsid w:val="4BB4AE6E"/>
    <w:rsid w:val="4BD97125"/>
    <w:rsid w:val="4BDBBF04"/>
    <w:rsid w:val="4BDE6B40"/>
    <w:rsid w:val="4BE656E5"/>
    <w:rsid w:val="4BEF98EB"/>
    <w:rsid w:val="4BFE87D5"/>
    <w:rsid w:val="4C064A80"/>
    <w:rsid w:val="4C0D3CEA"/>
    <w:rsid w:val="4C0D7154"/>
    <w:rsid w:val="4C3124CA"/>
    <w:rsid w:val="4C7100A8"/>
    <w:rsid w:val="4C90644D"/>
    <w:rsid w:val="4CA73CC5"/>
    <w:rsid w:val="4CD7582B"/>
    <w:rsid w:val="4CEFE7A0"/>
    <w:rsid w:val="4CF36021"/>
    <w:rsid w:val="4CFD4F26"/>
    <w:rsid w:val="4CFF829E"/>
    <w:rsid w:val="4D0021BB"/>
    <w:rsid w:val="4D0315E3"/>
    <w:rsid w:val="4D5A2E00"/>
    <w:rsid w:val="4D5ADF71"/>
    <w:rsid w:val="4D7B16D7"/>
    <w:rsid w:val="4D7E64A8"/>
    <w:rsid w:val="4D866134"/>
    <w:rsid w:val="4D9B5DE3"/>
    <w:rsid w:val="4D9D5CC9"/>
    <w:rsid w:val="4DB3746C"/>
    <w:rsid w:val="4DBC4BA1"/>
    <w:rsid w:val="4DBCEE32"/>
    <w:rsid w:val="4DD82879"/>
    <w:rsid w:val="4DDB6B8A"/>
    <w:rsid w:val="4DDF9AAE"/>
    <w:rsid w:val="4DEF1B71"/>
    <w:rsid w:val="4DF11FDF"/>
    <w:rsid w:val="4DFDD3B0"/>
    <w:rsid w:val="4E0C3B74"/>
    <w:rsid w:val="4E2B4DF4"/>
    <w:rsid w:val="4E3F31A7"/>
    <w:rsid w:val="4E435E7E"/>
    <w:rsid w:val="4E583EFD"/>
    <w:rsid w:val="4E640B26"/>
    <w:rsid w:val="4E7008B0"/>
    <w:rsid w:val="4E7B0FD9"/>
    <w:rsid w:val="4EAF7C0F"/>
    <w:rsid w:val="4EBB5B22"/>
    <w:rsid w:val="4ECC3413"/>
    <w:rsid w:val="4ECFB711"/>
    <w:rsid w:val="4EE77C27"/>
    <w:rsid w:val="4EED7C50"/>
    <w:rsid w:val="4EEF1603"/>
    <w:rsid w:val="4EEFCEB1"/>
    <w:rsid w:val="4EF7114A"/>
    <w:rsid w:val="4EFECE1A"/>
    <w:rsid w:val="4F03695C"/>
    <w:rsid w:val="4F293C6C"/>
    <w:rsid w:val="4F37B513"/>
    <w:rsid w:val="4F3F5F5C"/>
    <w:rsid w:val="4F5651DB"/>
    <w:rsid w:val="4F5F3838"/>
    <w:rsid w:val="4F6F56F4"/>
    <w:rsid w:val="4F75B4DD"/>
    <w:rsid w:val="4F772BAC"/>
    <w:rsid w:val="4F775C06"/>
    <w:rsid w:val="4F89E5E4"/>
    <w:rsid w:val="4F957DB7"/>
    <w:rsid w:val="4F9F7FAF"/>
    <w:rsid w:val="4FB700A7"/>
    <w:rsid w:val="4FBD858C"/>
    <w:rsid w:val="4FBE9104"/>
    <w:rsid w:val="4FBF7004"/>
    <w:rsid w:val="4FBFD7D7"/>
    <w:rsid w:val="4FD96BC8"/>
    <w:rsid w:val="4FDF5D75"/>
    <w:rsid w:val="4FEE2D7A"/>
    <w:rsid w:val="4FF68641"/>
    <w:rsid w:val="4FFC80B2"/>
    <w:rsid w:val="4FFD1F39"/>
    <w:rsid w:val="4FFF0BF3"/>
    <w:rsid w:val="4FFF0E12"/>
    <w:rsid w:val="4FFF0E81"/>
    <w:rsid w:val="4FFF3C36"/>
    <w:rsid w:val="4FFF79CC"/>
    <w:rsid w:val="4FFF9590"/>
    <w:rsid w:val="4FFFBE71"/>
    <w:rsid w:val="4FFFFF7C"/>
    <w:rsid w:val="503A6BBC"/>
    <w:rsid w:val="506D5316"/>
    <w:rsid w:val="508673A8"/>
    <w:rsid w:val="509E8309"/>
    <w:rsid w:val="50B2481A"/>
    <w:rsid w:val="50B53843"/>
    <w:rsid w:val="50E61077"/>
    <w:rsid w:val="50FB2935"/>
    <w:rsid w:val="518F8288"/>
    <w:rsid w:val="519709AF"/>
    <w:rsid w:val="519D27AC"/>
    <w:rsid w:val="51A32240"/>
    <w:rsid w:val="51C371EF"/>
    <w:rsid w:val="51CD580B"/>
    <w:rsid w:val="51E6F304"/>
    <w:rsid w:val="51F43745"/>
    <w:rsid w:val="51F7876B"/>
    <w:rsid w:val="52104576"/>
    <w:rsid w:val="52266918"/>
    <w:rsid w:val="524B39C2"/>
    <w:rsid w:val="52895598"/>
    <w:rsid w:val="52F1306B"/>
    <w:rsid w:val="52F50EBE"/>
    <w:rsid w:val="530479BE"/>
    <w:rsid w:val="53054D82"/>
    <w:rsid w:val="53413C1A"/>
    <w:rsid w:val="5371547F"/>
    <w:rsid w:val="537B4151"/>
    <w:rsid w:val="537F32C3"/>
    <w:rsid w:val="53903AD7"/>
    <w:rsid w:val="53A31443"/>
    <w:rsid w:val="53B30858"/>
    <w:rsid w:val="53B3439C"/>
    <w:rsid w:val="53B65679"/>
    <w:rsid w:val="53B6709F"/>
    <w:rsid w:val="53BA6DBE"/>
    <w:rsid w:val="53CF81AA"/>
    <w:rsid w:val="53EF3735"/>
    <w:rsid w:val="53F30F4F"/>
    <w:rsid w:val="53FDEC82"/>
    <w:rsid w:val="53FE00E8"/>
    <w:rsid w:val="53FFC1F7"/>
    <w:rsid w:val="5439307A"/>
    <w:rsid w:val="545F62E0"/>
    <w:rsid w:val="54937B8B"/>
    <w:rsid w:val="54D1276A"/>
    <w:rsid w:val="54D334B5"/>
    <w:rsid w:val="552111D9"/>
    <w:rsid w:val="55277CB3"/>
    <w:rsid w:val="55463B40"/>
    <w:rsid w:val="555DDE0C"/>
    <w:rsid w:val="55775F3A"/>
    <w:rsid w:val="559F5106"/>
    <w:rsid w:val="55B23145"/>
    <w:rsid w:val="55EDC201"/>
    <w:rsid w:val="55FBFA1A"/>
    <w:rsid w:val="55FF6B8A"/>
    <w:rsid w:val="55FF99E6"/>
    <w:rsid w:val="561B09C7"/>
    <w:rsid w:val="56211806"/>
    <w:rsid w:val="565A2E11"/>
    <w:rsid w:val="5693DBCA"/>
    <w:rsid w:val="56B84538"/>
    <w:rsid w:val="56C425D4"/>
    <w:rsid w:val="56D004CC"/>
    <w:rsid w:val="56D5DD85"/>
    <w:rsid w:val="56DFE9C8"/>
    <w:rsid w:val="56F7B41D"/>
    <w:rsid w:val="56FB3037"/>
    <w:rsid w:val="56FE8B9E"/>
    <w:rsid w:val="571B3206"/>
    <w:rsid w:val="572FF9E0"/>
    <w:rsid w:val="573052E7"/>
    <w:rsid w:val="573F36F2"/>
    <w:rsid w:val="5745415D"/>
    <w:rsid w:val="575F87DC"/>
    <w:rsid w:val="575FC101"/>
    <w:rsid w:val="578F1EE0"/>
    <w:rsid w:val="57AB1C1E"/>
    <w:rsid w:val="57AF23FC"/>
    <w:rsid w:val="57B039CF"/>
    <w:rsid w:val="57BB8D6A"/>
    <w:rsid w:val="57BF6BD0"/>
    <w:rsid w:val="57BF9AAA"/>
    <w:rsid w:val="57D145C0"/>
    <w:rsid w:val="57D20D7C"/>
    <w:rsid w:val="57D41796"/>
    <w:rsid w:val="57DF8203"/>
    <w:rsid w:val="57E7D860"/>
    <w:rsid w:val="57EB12F0"/>
    <w:rsid w:val="57EBF1A0"/>
    <w:rsid w:val="57EC03D3"/>
    <w:rsid w:val="57EDEA04"/>
    <w:rsid w:val="57EED09F"/>
    <w:rsid w:val="57EFFD52"/>
    <w:rsid w:val="57F3DFE3"/>
    <w:rsid w:val="57F3E5D4"/>
    <w:rsid w:val="57F760A9"/>
    <w:rsid w:val="57F972DE"/>
    <w:rsid w:val="57F9BEBA"/>
    <w:rsid w:val="57FA017D"/>
    <w:rsid w:val="57FD0407"/>
    <w:rsid w:val="57FD51C4"/>
    <w:rsid w:val="57FF129F"/>
    <w:rsid w:val="57FF27A2"/>
    <w:rsid w:val="58523BC2"/>
    <w:rsid w:val="58565C38"/>
    <w:rsid w:val="58634F0A"/>
    <w:rsid w:val="586F843F"/>
    <w:rsid w:val="58704DDF"/>
    <w:rsid w:val="58D9B1EB"/>
    <w:rsid w:val="59152703"/>
    <w:rsid w:val="591E7626"/>
    <w:rsid w:val="59A6216A"/>
    <w:rsid w:val="59BD2B31"/>
    <w:rsid w:val="59C86C6A"/>
    <w:rsid w:val="59EB67C7"/>
    <w:rsid w:val="59F4BC9C"/>
    <w:rsid w:val="59F80BEA"/>
    <w:rsid w:val="59FE16DB"/>
    <w:rsid w:val="59FFB5BB"/>
    <w:rsid w:val="59FFC163"/>
    <w:rsid w:val="5A097940"/>
    <w:rsid w:val="5A261EC6"/>
    <w:rsid w:val="5A5752FC"/>
    <w:rsid w:val="5A5B5065"/>
    <w:rsid w:val="5A7719DD"/>
    <w:rsid w:val="5A8D4A94"/>
    <w:rsid w:val="5A9F602C"/>
    <w:rsid w:val="5AB465D9"/>
    <w:rsid w:val="5ABE0DF4"/>
    <w:rsid w:val="5ABF2441"/>
    <w:rsid w:val="5ABFAAA4"/>
    <w:rsid w:val="5AD9E38D"/>
    <w:rsid w:val="5AEA5292"/>
    <w:rsid w:val="5AFE8AF0"/>
    <w:rsid w:val="5B1C04B7"/>
    <w:rsid w:val="5B2B3D4B"/>
    <w:rsid w:val="5B324B66"/>
    <w:rsid w:val="5B4308FD"/>
    <w:rsid w:val="5B445B09"/>
    <w:rsid w:val="5B5967A7"/>
    <w:rsid w:val="5B5EC30D"/>
    <w:rsid w:val="5B6FCFA8"/>
    <w:rsid w:val="5B8B04F6"/>
    <w:rsid w:val="5B8F73D2"/>
    <w:rsid w:val="5B8FFD5A"/>
    <w:rsid w:val="5B957D99"/>
    <w:rsid w:val="5B9FEC9B"/>
    <w:rsid w:val="5BA10B13"/>
    <w:rsid w:val="5BA7CE88"/>
    <w:rsid w:val="5BAABE56"/>
    <w:rsid w:val="5BB70C86"/>
    <w:rsid w:val="5BBA394A"/>
    <w:rsid w:val="5BBB746A"/>
    <w:rsid w:val="5BBF8399"/>
    <w:rsid w:val="5BC40744"/>
    <w:rsid w:val="5BD864F0"/>
    <w:rsid w:val="5BDB1651"/>
    <w:rsid w:val="5BDCB28B"/>
    <w:rsid w:val="5BDD3370"/>
    <w:rsid w:val="5BEBF03E"/>
    <w:rsid w:val="5BEE977B"/>
    <w:rsid w:val="5BEF406F"/>
    <w:rsid w:val="5BEF7DEB"/>
    <w:rsid w:val="5BEFFEFE"/>
    <w:rsid w:val="5BF50540"/>
    <w:rsid w:val="5BF78E3C"/>
    <w:rsid w:val="5BF79F85"/>
    <w:rsid w:val="5BFA2C1F"/>
    <w:rsid w:val="5BFA4CD3"/>
    <w:rsid w:val="5BFEC41E"/>
    <w:rsid w:val="5BFF25A1"/>
    <w:rsid w:val="5BFF7C34"/>
    <w:rsid w:val="5BFF81B3"/>
    <w:rsid w:val="5BFFE7A8"/>
    <w:rsid w:val="5C0D7738"/>
    <w:rsid w:val="5C178F5B"/>
    <w:rsid w:val="5C4B832B"/>
    <w:rsid w:val="5C565D6B"/>
    <w:rsid w:val="5C830ECB"/>
    <w:rsid w:val="5C8E2C31"/>
    <w:rsid w:val="5C94636A"/>
    <w:rsid w:val="5CA23699"/>
    <w:rsid w:val="5CA64EFE"/>
    <w:rsid w:val="5CB7D330"/>
    <w:rsid w:val="5CB83A77"/>
    <w:rsid w:val="5CBE81D7"/>
    <w:rsid w:val="5CCF2E28"/>
    <w:rsid w:val="5CCFB23B"/>
    <w:rsid w:val="5CD73F09"/>
    <w:rsid w:val="5CE607C6"/>
    <w:rsid w:val="5CE71C26"/>
    <w:rsid w:val="5CEFD391"/>
    <w:rsid w:val="5CF56986"/>
    <w:rsid w:val="5CFC292C"/>
    <w:rsid w:val="5D0D7D82"/>
    <w:rsid w:val="5D1857BF"/>
    <w:rsid w:val="5D311B98"/>
    <w:rsid w:val="5D341A91"/>
    <w:rsid w:val="5D55AAA1"/>
    <w:rsid w:val="5D5E1BE2"/>
    <w:rsid w:val="5D5E4443"/>
    <w:rsid w:val="5D7B5180"/>
    <w:rsid w:val="5D7FA30A"/>
    <w:rsid w:val="5D8E3043"/>
    <w:rsid w:val="5D921B26"/>
    <w:rsid w:val="5DA8FC96"/>
    <w:rsid w:val="5DADB807"/>
    <w:rsid w:val="5DAE2B07"/>
    <w:rsid w:val="5DAF9C9C"/>
    <w:rsid w:val="5DB356F7"/>
    <w:rsid w:val="5DCF9C7E"/>
    <w:rsid w:val="5DDA255C"/>
    <w:rsid w:val="5DDBD00D"/>
    <w:rsid w:val="5DDEC066"/>
    <w:rsid w:val="5DE7CBA2"/>
    <w:rsid w:val="5DED6DE2"/>
    <w:rsid w:val="5DEFD256"/>
    <w:rsid w:val="5DF70712"/>
    <w:rsid w:val="5DF76B54"/>
    <w:rsid w:val="5DFB5A00"/>
    <w:rsid w:val="5DFF0BC5"/>
    <w:rsid w:val="5DFFF5A9"/>
    <w:rsid w:val="5E092E18"/>
    <w:rsid w:val="5E216AA1"/>
    <w:rsid w:val="5E2503A2"/>
    <w:rsid w:val="5E2A6431"/>
    <w:rsid w:val="5E438E87"/>
    <w:rsid w:val="5E5F2E05"/>
    <w:rsid w:val="5E69F91E"/>
    <w:rsid w:val="5E73A9AB"/>
    <w:rsid w:val="5E79E369"/>
    <w:rsid w:val="5E8A448E"/>
    <w:rsid w:val="5E9DE45D"/>
    <w:rsid w:val="5E9E50DD"/>
    <w:rsid w:val="5EBBE8BD"/>
    <w:rsid w:val="5EBEC97D"/>
    <w:rsid w:val="5ECE342B"/>
    <w:rsid w:val="5EEFE4C4"/>
    <w:rsid w:val="5EEFEA68"/>
    <w:rsid w:val="5EF30CB0"/>
    <w:rsid w:val="5EF449F1"/>
    <w:rsid w:val="5EF50DD1"/>
    <w:rsid w:val="5EF9F80B"/>
    <w:rsid w:val="5EFAAF10"/>
    <w:rsid w:val="5EFB96F7"/>
    <w:rsid w:val="5EFBE6D8"/>
    <w:rsid w:val="5EFD1B4A"/>
    <w:rsid w:val="5EFD671E"/>
    <w:rsid w:val="5EFDC064"/>
    <w:rsid w:val="5EFE193A"/>
    <w:rsid w:val="5EFFA583"/>
    <w:rsid w:val="5F0D92F7"/>
    <w:rsid w:val="5F1FE5DB"/>
    <w:rsid w:val="5F2516BD"/>
    <w:rsid w:val="5F2D45D6"/>
    <w:rsid w:val="5F367165"/>
    <w:rsid w:val="5F3B8D76"/>
    <w:rsid w:val="5F3F6740"/>
    <w:rsid w:val="5F473A5D"/>
    <w:rsid w:val="5F47ECEE"/>
    <w:rsid w:val="5F4B9E20"/>
    <w:rsid w:val="5F527881"/>
    <w:rsid w:val="5F5F5988"/>
    <w:rsid w:val="5F5FE79C"/>
    <w:rsid w:val="5F6905AA"/>
    <w:rsid w:val="5F79F690"/>
    <w:rsid w:val="5F7A929B"/>
    <w:rsid w:val="5F7B9A87"/>
    <w:rsid w:val="5F7BC341"/>
    <w:rsid w:val="5F7BE1E3"/>
    <w:rsid w:val="5F7C780A"/>
    <w:rsid w:val="5F7CF16B"/>
    <w:rsid w:val="5F7D18E1"/>
    <w:rsid w:val="5F7D7537"/>
    <w:rsid w:val="5F7EA6A6"/>
    <w:rsid w:val="5F7EDE5D"/>
    <w:rsid w:val="5F7F6B3C"/>
    <w:rsid w:val="5F8C73F6"/>
    <w:rsid w:val="5F91AF23"/>
    <w:rsid w:val="5F96E745"/>
    <w:rsid w:val="5F9E605F"/>
    <w:rsid w:val="5F9FECFB"/>
    <w:rsid w:val="5FA49862"/>
    <w:rsid w:val="5FA70603"/>
    <w:rsid w:val="5FAF6F3A"/>
    <w:rsid w:val="5FAF751F"/>
    <w:rsid w:val="5FB585E0"/>
    <w:rsid w:val="5FB71A98"/>
    <w:rsid w:val="5FB785C3"/>
    <w:rsid w:val="5FB9F92B"/>
    <w:rsid w:val="5FBB23C0"/>
    <w:rsid w:val="5FBBB366"/>
    <w:rsid w:val="5FBDA5D6"/>
    <w:rsid w:val="5FBE2813"/>
    <w:rsid w:val="5FBF1F93"/>
    <w:rsid w:val="5FC6CD23"/>
    <w:rsid w:val="5FC7D362"/>
    <w:rsid w:val="5FCC0613"/>
    <w:rsid w:val="5FCE5AEF"/>
    <w:rsid w:val="5FCFE113"/>
    <w:rsid w:val="5FDD2C9A"/>
    <w:rsid w:val="5FDEE6D0"/>
    <w:rsid w:val="5FDF6061"/>
    <w:rsid w:val="5FDF9D37"/>
    <w:rsid w:val="5FDFA406"/>
    <w:rsid w:val="5FDFE883"/>
    <w:rsid w:val="5FE33813"/>
    <w:rsid w:val="5FE66669"/>
    <w:rsid w:val="5FE7216C"/>
    <w:rsid w:val="5FEAE583"/>
    <w:rsid w:val="5FEB8559"/>
    <w:rsid w:val="5FED6ABB"/>
    <w:rsid w:val="5FEDF5C2"/>
    <w:rsid w:val="5FEF2180"/>
    <w:rsid w:val="5FF2426A"/>
    <w:rsid w:val="5FF372BE"/>
    <w:rsid w:val="5FF383BA"/>
    <w:rsid w:val="5FF52559"/>
    <w:rsid w:val="5FF7D554"/>
    <w:rsid w:val="5FF9F6F4"/>
    <w:rsid w:val="5FFA27F0"/>
    <w:rsid w:val="5FFA51E7"/>
    <w:rsid w:val="5FFA6420"/>
    <w:rsid w:val="5FFACA6D"/>
    <w:rsid w:val="5FFB1DF7"/>
    <w:rsid w:val="5FFB4300"/>
    <w:rsid w:val="5FFBC508"/>
    <w:rsid w:val="5FFC69CB"/>
    <w:rsid w:val="5FFC7E6A"/>
    <w:rsid w:val="5FFD1277"/>
    <w:rsid w:val="5FFE2ED4"/>
    <w:rsid w:val="5FFE62CD"/>
    <w:rsid w:val="5FFE6566"/>
    <w:rsid w:val="5FFE7B5D"/>
    <w:rsid w:val="5FFEF7A9"/>
    <w:rsid w:val="5FFF43DF"/>
    <w:rsid w:val="5FFF5708"/>
    <w:rsid w:val="5FFF5CBA"/>
    <w:rsid w:val="5FFF6DEA"/>
    <w:rsid w:val="5FFF6EAF"/>
    <w:rsid w:val="5FFF879C"/>
    <w:rsid w:val="5FFF96E5"/>
    <w:rsid w:val="5FFFC9CC"/>
    <w:rsid w:val="5FFFE759"/>
    <w:rsid w:val="5FFFEDD1"/>
    <w:rsid w:val="5FFFFF60"/>
    <w:rsid w:val="60131D46"/>
    <w:rsid w:val="604B6949"/>
    <w:rsid w:val="604C27CC"/>
    <w:rsid w:val="60530E02"/>
    <w:rsid w:val="607ED338"/>
    <w:rsid w:val="608D18F7"/>
    <w:rsid w:val="609C0629"/>
    <w:rsid w:val="60A7457E"/>
    <w:rsid w:val="60AB1911"/>
    <w:rsid w:val="60D46A04"/>
    <w:rsid w:val="61216E0B"/>
    <w:rsid w:val="612C1DA8"/>
    <w:rsid w:val="615C6AE7"/>
    <w:rsid w:val="61775615"/>
    <w:rsid w:val="617A0A63"/>
    <w:rsid w:val="618227C5"/>
    <w:rsid w:val="61911261"/>
    <w:rsid w:val="619DE600"/>
    <w:rsid w:val="61F54CFB"/>
    <w:rsid w:val="61F7EB0F"/>
    <w:rsid w:val="6225644B"/>
    <w:rsid w:val="623F3938"/>
    <w:rsid w:val="624B2536"/>
    <w:rsid w:val="62551FD2"/>
    <w:rsid w:val="626A3C86"/>
    <w:rsid w:val="62866ACC"/>
    <w:rsid w:val="62933F6B"/>
    <w:rsid w:val="62D20269"/>
    <w:rsid w:val="62DD12D8"/>
    <w:rsid w:val="63338691"/>
    <w:rsid w:val="633734E9"/>
    <w:rsid w:val="63396CAD"/>
    <w:rsid w:val="63485DB5"/>
    <w:rsid w:val="634E3452"/>
    <w:rsid w:val="6358192B"/>
    <w:rsid w:val="636F69A1"/>
    <w:rsid w:val="6375D0FB"/>
    <w:rsid w:val="6393172C"/>
    <w:rsid w:val="639870FB"/>
    <w:rsid w:val="63B46C04"/>
    <w:rsid w:val="63B72DEB"/>
    <w:rsid w:val="63BB66B1"/>
    <w:rsid w:val="63CD713C"/>
    <w:rsid w:val="63DF25C7"/>
    <w:rsid w:val="63ED7A22"/>
    <w:rsid w:val="63EE737F"/>
    <w:rsid w:val="63FD2D13"/>
    <w:rsid w:val="63FF46CC"/>
    <w:rsid w:val="641C1F1E"/>
    <w:rsid w:val="642F5AC7"/>
    <w:rsid w:val="644834A1"/>
    <w:rsid w:val="644D747B"/>
    <w:rsid w:val="6467BB5E"/>
    <w:rsid w:val="64B47FA9"/>
    <w:rsid w:val="64B7246F"/>
    <w:rsid w:val="64C54DE1"/>
    <w:rsid w:val="64DF601D"/>
    <w:rsid w:val="64F12794"/>
    <w:rsid w:val="64F422C4"/>
    <w:rsid w:val="64F4743B"/>
    <w:rsid w:val="64FB6DED"/>
    <w:rsid w:val="64FF3441"/>
    <w:rsid w:val="6557CDE8"/>
    <w:rsid w:val="658603EB"/>
    <w:rsid w:val="65B37AAA"/>
    <w:rsid w:val="65BD193F"/>
    <w:rsid w:val="65BD5E8B"/>
    <w:rsid w:val="65BF396E"/>
    <w:rsid w:val="65DBB2E8"/>
    <w:rsid w:val="65DFA1D9"/>
    <w:rsid w:val="65E752AF"/>
    <w:rsid w:val="65F4B928"/>
    <w:rsid w:val="65FB1DFE"/>
    <w:rsid w:val="65FD1775"/>
    <w:rsid w:val="65FFB1A4"/>
    <w:rsid w:val="661BB166"/>
    <w:rsid w:val="662C5EAB"/>
    <w:rsid w:val="663EC724"/>
    <w:rsid w:val="663FBF6C"/>
    <w:rsid w:val="66524F2C"/>
    <w:rsid w:val="668A34B9"/>
    <w:rsid w:val="66AB57FC"/>
    <w:rsid w:val="66AC7A9D"/>
    <w:rsid w:val="66B6B879"/>
    <w:rsid w:val="66B9928E"/>
    <w:rsid w:val="66BF0544"/>
    <w:rsid w:val="66CC74DE"/>
    <w:rsid w:val="66DFBFFE"/>
    <w:rsid w:val="66F1252A"/>
    <w:rsid w:val="66F75471"/>
    <w:rsid w:val="66FA2543"/>
    <w:rsid w:val="66FB06FF"/>
    <w:rsid w:val="66FF00DD"/>
    <w:rsid w:val="66FFB684"/>
    <w:rsid w:val="672141EE"/>
    <w:rsid w:val="672F7C4A"/>
    <w:rsid w:val="6737CC8D"/>
    <w:rsid w:val="673B67EB"/>
    <w:rsid w:val="673DD648"/>
    <w:rsid w:val="674ADFEE"/>
    <w:rsid w:val="675989B7"/>
    <w:rsid w:val="6766F88B"/>
    <w:rsid w:val="6769480C"/>
    <w:rsid w:val="676FD413"/>
    <w:rsid w:val="677607C4"/>
    <w:rsid w:val="6779C8DC"/>
    <w:rsid w:val="67832FA0"/>
    <w:rsid w:val="678D3DA3"/>
    <w:rsid w:val="678F6B28"/>
    <w:rsid w:val="679B2E67"/>
    <w:rsid w:val="679C3A76"/>
    <w:rsid w:val="67AF635B"/>
    <w:rsid w:val="67B527BC"/>
    <w:rsid w:val="67BF9E49"/>
    <w:rsid w:val="67C226E6"/>
    <w:rsid w:val="67C51472"/>
    <w:rsid w:val="67CB5668"/>
    <w:rsid w:val="67D3D4E7"/>
    <w:rsid w:val="67D63A54"/>
    <w:rsid w:val="67D6DE5A"/>
    <w:rsid w:val="67D72C7B"/>
    <w:rsid w:val="67DDD880"/>
    <w:rsid w:val="67DFF975"/>
    <w:rsid w:val="67EE5287"/>
    <w:rsid w:val="67EEEBC6"/>
    <w:rsid w:val="67EFB2C1"/>
    <w:rsid w:val="67F0F064"/>
    <w:rsid w:val="67F60320"/>
    <w:rsid w:val="67F7EB73"/>
    <w:rsid w:val="67FB1B4B"/>
    <w:rsid w:val="67FBA818"/>
    <w:rsid w:val="67FD358D"/>
    <w:rsid w:val="67FF625D"/>
    <w:rsid w:val="685725D2"/>
    <w:rsid w:val="687A9290"/>
    <w:rsid w:val="687FBAB0"/>
    <w:rsid w:val="689D19B3"/>
    <w:rsid w:val="68A22C5F"/>
    <w:rsid w:val="68BD6BA6"/>
    <w:rsid w:val="68D45FF6"/>
    <w:rsid w:val="691DA06F"/>
    <w:rsid w:val="69481961"/>
    <w:rsid w:val="695F5AF9"/>
    <w:rsid w:val="6969349F"/>
    <w:rsid w:val="69830250"/>
    <w:rsid w:val="698B5C5D"/>
    <w:rsid w:val="699A2FEC"/>
    <w:rsid w:val="69A36DCE"/>
    <w:rsid w:val="69CE0487"/>
    <w:rsid w:val="69DB7550"/>
    <w:rsid w:val="69F375B0"/>
    <w:rsid w:val="69F7EF6A"/>
    <w:rsid w:val="6A0C299F"/>
    <w:rsid w:val="6A393460"/>
    <w:rsid w:val="6A4344ED"/>
    <w:rsid w:val="6A591AAB"/>
    <w:rsid w:val="6A5E73B2"/>
    <w:rsid w:val="6A622911"/>
    <w:rsid w:val="6A7FC7F0"/>
    <w:rsid w:val="6ADB77BE"/>
    <w:rsid w:val="6AE47818"/>
    <w:rsid w:val="6AE53476"/>
    <w:rsid w:val="6AEC52DF"/>
    <w:rsid w:val="6AF770E7"/>
    <w:rsid w:val="6AF7894D"/>
    <w:rsid w:val="6B1D3600"/>
    <w:rsid w:val="6B2D3724"/>
    <w:rsid w:val="6B4D4F5C"/>
    <w:rsid w:val="6B5A101F"/>
    <w:rsid w:val="6B5A5B52"/>
    <w:rsid w:val="6B692BFA"/>
    <w:rsid w:val="6B779D7C"/>
    <w:rsid w:val="6B7EB9AC"/>
    <w:rsid w:val="6B845E48"/>
    <w:rsid w:val="6B860266"/>
    <w:rsid w:val="6B8FE823"/>
    <w:rsid w:val="6B9B394F"/>
    <w:rsid w:val="6B9B99F5"/>
    <w:rsid w:val="6B9F5A39"/>
    <w:rsid w:val="6BA60D26"/>
    <w:rsid w:val="6BB56E14"/>
    <w:rsid w:val="6BBE7B90"/>
    <w:rsid w:val="6BC01D3B"/>
    <w:rsid w:val="6BCF425A"/>
    <w:rsid w:val="6BD378E1"/>
    <w:rsid w:val="6BD77453"/>
    <w:rsid w:val="6BDD2BF7"/>
    <w:rsid w:val="6BDE4DA5"/>
    <w:rsid w:val="6BDF0047"/>
    <w:rsid w:val="6BDFC40C"/>
    <w:rsid w:val="6BE95CB1"/>
    <w:rsid w:val="6BEB9423"/>
    <w:rsid w:val="6BEC5428"/>
    <w:rsid w:val="6BED396F"/>
    <w:rsid w:val="6BEDAF43"/>
    <w:rsid w:val="6BEEDF89"/>
    <w:rsid w:val="6BEF0A9A"/>
    <w:rsid w:val="6BEF35FE"/>
    <w:rsid w:val="6BEF8B4E"/>
    <w:rsid w:val="6BEFAE40"/>
    <w:rsid w:val="6BEFDF41"/>
    <w:rsid w:val="6BFD9A24"/>
    <w:rsid w:val="6BFDF72A"/>
    <w:rsid w:val="6BFE3328"/>
    <w:rsid w:val="6BFEB4B4"/>
    <w:rsid w:val="6BFF4A43"/>
    <w:rsid w:val="6BFF5968"/>
    <w:rsid w:val="6BFFCE2F"/>
    <w:rsid w:val="6C1A3F4A"/>
    <w:rsid w:val="6C5F6386"/>
    <w:rsid w:val="6C6A4BB8"/>
    <w:rsid w:val="6C6C3EF7"/>
    <w:rsid w:val="6C7D14E3"/>
    <w:rsid w:val="6CB24133"/>
    <w:rsid w:val="6CBAE261"/>
    <w:rsid w:val="6CC4575D"/>
    <w:rsid w:val="6CCE3B25"/>
    <w:rsid w:val="6CD4581C"/>
    <w:rsid w:val="6CE3060A"/>
    <w:rsid w:val="6CF7F3F3"/>
    <w:rsid w:val="6CFBFF6F"/>
    <w:rsid w:val="6CFD4186"/>
    <w:rsid w:val="6CFFC6B9"/>
    <w:rsid w:val="6CFFDE7E"/>
    <w:rsid w:val="6D1457DF"/>
    <w:rsid w:val="6D1AE7FE"/>
    <w:rsid w:val="6D1EA52A"/>
    <w:rsid w:val="6D2045B2"/>
    <w:rsid w:val="6D2A13F4"/>
    <w:rsid w:val="6D3D12DE"/>
    <w:rsid w:val="6D701B99"/>
    <w:rsid w:val="6D723FC0"/>
    <w:rsid w:val="6D748B9A"/>
    <w:rsid w:val="6D7CCD12"/>
    <w:rsid w:val="6D9F136A"/>
    <w:rsid w:val="6DAA67AB"/>
    <w:rsid w:val="6DB34DF3"/>
    <w:rsid w:val="6DBB5B00"/>
    <w:rsid w:val="6DBEA107"/>
    <w:rsid w:val="6DBF2137"/>
    <w:rsid w:val="6DBF33CA"/>
    <w:rsid w:val="6DBF54BF"/>
    <w:rsid w:val="6DCB965F"/>
    <w:rsid w:val="6DCCC045"/>
    <w:rsid w:val="6DDB0C8D"/>
    <w:rsid w:val="6DDD7509"/>
    <w:rsid w:val="6DDE9D46"/>
    <w:rsid w:val="6DDF64B1"/>
    <w:rsid w:val="6DEA277D"/>
    <w:rsid w:val="6DEE3825"/>
    <w:rsid w:val="6DEF4A11"/>
    <w:rsid w:val="6DF7FD9E"/>
    <w:rsid w:val="6DFAA2AF"/>
    <w:rsid w:val="6DFF50D2"/>
    <w:rsid w:val="6E2D08DA"/>
    <w:rsid w:val="6E3A134D"/>
    <w:rsid w:val="6E3F38E5"/>
    <w:rsid w:val="6E5F60FF"/>
    <w:rsid w:val="6E6F1355"/>
    <w:rsid w:val="6E747F08"/>
    <w:rsid w:val="6E765F3F"/>
    <w:rsid w:val="6E7D5FA9"/>
    <w:rsid w:val="6E7F91EB"/>
    <w:rsid w:val="6EB47738"/>
    <w:rsid w:val="6EB913CA"/>
    <w:rsid w:val="6EBB0D34"/>
    <w:rsid w:val="6ECAFECB"/>
    <w:rsid w:val="6EDEB869"/>
    <w:rsid w:val="6EDF2389"/>
    <w:rsid w:val="6EDF32DD"/>
    <w:rsid w:val="6EE8D923"/>
    <w:rsid w:val="6EEEED2E"/>
    <w:rsid w:val="6EF1A869"/>
    <w:rsid w:val="6EF31B4A"/>
    <w:rsid w:val="6EF649E5"/>
    <w:rsid w:val="6EF67B0F"/>
    <w:rsid w:val="6EF79887"/>
    <w:rsid w:val="6EFB3821"/>
    <w:rsid w:val="6EFDC741"/>
    <w:rsid w:val="6EFDCB83"/>
    <w:rsid w:val="6EFF17E3"/>
    <w:rsid w:val="6EFF459A"/>
    <w:rsid w:val="6EFF73BB"/>
    <w:rsid w:val="6EFF8453"/>
    <w:rsid w:val="6F02CB03"/>
    <w:rsid w:val="6F1F5A36"/>
    <w:rsid w:val="6F2F1EB2"/>
    <w:rsid w:val="6F34392C"/>
    <w:rsid w:val="6F3AAEB6"/>
    <w:rsid w:val="6F3C532D"/>
    <w:rsid w:val="6F3F4834"/>
    <w:rsid w:val="6F3FDCEE"/>
    <w:rsid w:val="6F4EE810"/>
    <w:rsid w:val="6F4F04A0"/>
    <w:rsid w:val="6F529879"/>
    <w:rsid w:val="6F5D71ED"/>
    <w:rsid w:val="6F5EC516"/>
    <w:rsid w:val="6F690FE7"/>
    <w:rsid w:val="6F69CC55"/>
    <w:rsid w:val="6F7447E7"/>
    <w:rsid w:val="6F75319B"/>
    <w:rsid w:val="6F7D4701"/>
    <w:rsid w:val="6F7E258C"/>
    <w:rsid w:val="6F7FCA6E"/>
    <w:rsid w:val="6F7FDED7"/>
    <w:rsid w:val="6F7FF439"/>
    <w:rsid w:val="6F7FFD9E"/>
    <w:rsid w:val="6F86A507"/>
    <w:rsid w:val="6F8D2B3B"/>
    <w:rsid w:val="6F9E5E6A"/>
    <w:rsid w:val="6F9F27DC"/>
    <w:rsid w:val="6FAB9B07"/>
    <w:rsid w:val="6FAF7CE6"/>
    <w:rsid w:val="6FB05D16"/>
    <w:rsid w:val="6FB911AB"/>
    <w:rsid w:val="6FBB66FF"/>
    <w:rsid w:val="6FBB752A"/>
    <w:rsid w:val="6FBBD5C0"/>
    <w:rsid w:val="6FBBF5EF"/>
    <w:rsid w:val="6FBCD47F"/>
    <w:rsid w:val="6FBD02EA"/>
    <w:rsid w:val="6FBD62F9"/>
    <w:rsid w:val="6FBF9323"/>
    <w:rsid w:val="6FBFF8E6"/>
    <w:rsid w:val="6FC387CE"/>
    <w:rsid w:val="6FC7E1C6"/>
    <w:rsid w:val="6FCB97AD"/>
    <w:rsid w:val="6FCD51D5"/>
    <w:rsid w:val="6FCE2B80"/>
    <w:rsid w:val="6FCF5573"/>
    <w:rsid w:val="6FD78137"/>
    <w:rsid w:val="6FD9499D"/>
    <w:rsid w:val="6FDB4B35"/>
    <w:rsid w:val="6FDB5214"/>
    <w:rsid w:val="6FDD8EEB"/>
    <w:rsid w:val="6FDD98F5"/>
    <w:rsid w:val="6FDDE952"/>
    <w:rsid w:val="6FDE77BB"/>
    <w:rsid w:val="6FDEB06E"/>
    <w:rsid w:val="6FDF0A98"/>
    <w:rsid w:val="6FDF3311"/>
    <w:rsid w:val="6FDFA060"/>
    <w:rsid w:val="6FDFD66E"/>
    <w:rsid w:val="6FE343E3"/>
    <w:rsid w:val="6FE3EAD7"/>
    <w:rsid w:val="6FE6C63A"/>
    <w:rsid w:val="6FE73524"/>
    <w:rsid w:val="6FEBBA47"/>
    <w:rsid w:val="6FEF8569"/>
    <w:rsid w:val="6FEFA719"/>
    <w:rsid w:val="6FF3F058"/>
    <w:rsid w:val="6FF558DE"/>
    <w:rsid w:val="6FF9AA7A"/>
    <w:rsid w:val="6FF9FE39"/>
    <w:rsid w:val="6FFA74F3"/>
    <w:rsid w:val="6FFBE4A8"/>
    <w:rsid w:val="6FFD4391"/>
    <w:rsid w:val="6FFDBE97"/>
    <w:rsid w:val="6FFE030F"/>
    <w:rsid w:val="6FFE0C6C"/>
    <w:rsid w:val="6FFE262C"/>
    <w:rsid w:val="6FFEBBCA"/>
    <w:rsid w:val="6FFEE2CC"/>
    <w:rsid w:val="6FFF10E5"/>
    <w:rsid w:val="6FFF27A2"/>
    <w:rsid w:val="6FFF32A8"/>
    <w:rsid w:val="6FFF44F8"/>
    <w:rsid w:val="6FFF4570"/>
    <w:rsid w:val="6FFF772F"/>
    <w:rsid w:val="6FFF7D96"/>
    <w:rsid w:val="6FFF8C64"/>
    <w:rsid w:val="6FFFBD9E"/>
    <w:rsid w:val="6FFFD917"/>
    <w:rsid w:val="705C08C9"/>
    <w:rsid w:val="70883788"/>
    <w:rsid w:val="70B92402"/>
    <w:rsid w:val="70D2595F"/>
    <w:rsid w:val="70D97524"/>
    <w:rsid w:val="70DED630"/>
    <w:rsid w:val="70F2612F"/>
    <w:rsid w:val="70F56A87"/>
    <w:rsid w:val="71092E34"/>
    <w:rsid w:val="71161E26"/>
    <w:rsid w:val="71277548"/>
    <w:rsid w:val="71496672"/>
    <w:rsid w:val="71666E4F"/>
    <w:rsid w:val="71737781"/>
    <w:rsid w:val="718735C2"/>
    <w:rsid w:val="71B756FB"/>
    <w:rsid w:val="71E59F10"/>
    <w:rsid w:val="71EC7213"/>
    <w:rsid w:val="71F53F75"/>
    <w:rsid w:val="71FD18C8"/>
    <w:rsid w:val="720430A4"/>
    <w:rsid w:val="722260B4"/>
    <w:rsid w:val="72234601"/>
    <w:rsid w:val="724A7477"/>
    <w:rsid w:val="72525C2C"/>
    <w:rsid w:val="72530218"/>
    <w:rsid w:val="7269230C"/>
    <w:rsid w:val="726E5296"/>
    <w:rsid w:val="72786381"/>
    <w:rsid w:val="727A1AF0"/>
    <w:rsid w:val="72902454"/>
    <w:rsid w:val="72BA6721"/>
    <w:rsid w:val="72BB7455"/>
    <w:rsid w:val="72BF19D3"/>
    <w:rsid w:val="72BF8D96"/>
    <w:rsid w:val="72CF7A03"/>
    <w:rsid w:val="72DF618D"/>
    <w:rsid w:val="72E3E381"/>
    <w:rsid w:val="72E654AF"/>
    <w:rsid w:val="72EB8A29"/>
    <w:rsid w:val="72EBFF10"/>
    <w:rsid w:val="72F55AD2"/>
    <w:rsid w:val="72FC6DB4"/>
    <w:rsid w:val="72FCEEBA"/>
    <w:rsid w:val="72FFE228"/>
    <w:rsid w:val="73152371"/>
    <w:rsid w:val="732C4583"/>
    <w:rsid w:val="732E4B9F"/>
    <w:rsid w:val="73360D62"/>
    <w:rsid w:val="733A6805"/>
    <w:rsid w:val="733D79A2"/>
    <w:rsid w:val="733FF36D"/>
    <w:rsid w:val="734A0355"/>
    <w:rsid w:val="734F98A8"/>
    <w:rsid w:val="736D2D26"/>
    <w:rsid w:val="736F9250"/>
    <w:rsid w:val="737703D2"/>
    <w:rsid w:val="737BF8F3"/>
    <w:rsid w:val="737F2692"/>
    <w:rsid w:val="737FB7C9"/>
    <w:rsid w:val="7386553B"/>
    <w:rsid w:val="73918B02"/>
    <w:rsid w:val="739574AE"/>
    <w:rsid w:val="73A13A44"/>
    <w:rsid w:val="73BCD276"/>
    <w:rsid w:val="73C65D0F"/>
    <w:rsid w:val="73DB5D0A"/>
    <w:rsid w:val="73EF0DA9"/>
    <w:rsid w:val="73EF1DBE"/>
    <w:rsid w:val="73F25C59"/>
    <w:rsid w:val="73F47953"/>
    <w:rsid w:val="73F4C4D3"/>
    <w:rsid w:val="73F5D15D"/>
    <w:rsid w:val="73F87207"/>
    <w:rsid w:val="73FB2983"/>
    <w:rsid w:val="73FD1871"/>
    <w:rsid w:val="73FF5005"/>
    <w:rsid w:val="73FF5F3E"/>
    <w:rsid w:val="73FF7E5E"/>
    <w:rsid w:val="73FF8EF7"/>
    <w:rsid w:val="73FFA9CF"/>
    <w:rsid w:val="73FFC011"/>
    <w:rsid w:val="73FFC9BC"/>
    <w:rsid w:val="741123C9"/>
    <w:rsid w:val="7417706A"/>
    <w:rsid w:val="741A1A88"/>
    <w:rsid w:val="74372DEA"/>
    <w:rsid w:val="744B0816"/>
    <w:rsid w:val="7473B3F1"/>
    <w:rsid w:val="7473C1C8"/>
    <w:rsid w:val="74B2355F"/>
    <w:rsid w:val="74B588FD"/>
    <w:rsid w:val="74BDE8BC"/>
    <w:rsid w:val="74D7546D"/>
    <w:rsid w:val="74E6417E"/>
    <w:rsid w:val="74E7B8DB"/>
    <w:rsid w:val="74EBDDF5"/>
    <w:rsid w:val="74EC59F5"/>
    <w:rsid w:val="74F3F814"/>
    <w:rsid w:val="74F7DA5A"/>
    <w:rsid w:val="74FE0B2D"/>
    <w:rsid w:val="74FF688C"/>
    <w:rsid w:val="751176E0"/>
    <w:rsid w:val="753F2AE7"/>
    <w:rsid w:val="75572B42"/>
    <w:rsid w:val="755FF356"/>
    <w:rsid w:val="756DCAA1"/>
    <w:rsid w:val="75753344"/>
    <w:rsid w:val="757C5A57"/>
    <w:rsid w:val="757E8775"/>
    <w:rsid w:val="757F25D3"/>
    <w:rsid w:val="759BD668"/>
    <w:rsid w:val="75A50F63"/>
    <w:rsid w:val="75B340EC"/>
    <w:rsid w:val="75BB171A"/>
    <w:rsid w:val="75BDED10"/>
    <w:rsid w:val="75C02922"/>
    <w:rsid w:val="75D51812"/>
    <w:rsid w:val="75DC2CF8"/>
    <w:rsid w:val="75E2E975"/>
    <w:rsid w:val="75E958F0"/>
    <w:rsid w:val="75EAEFAA"/>
    <w:rsid w:val="75EF5760"/>
    <w:rsid w:val="75EF57D9"/>
    <w:rsid w:val="75EF9A8C"/>
    <w:rsid w:val="75EFC9FE"/>
    <w:rsid w:val="75F3A475"/>
    <w:rsid w:val="75F3D5B4"/>
    <w:rsid w:val="75F61C2C"/>
    <w:rsid w:val="75F78013"/>
    <w:rsid w:val="75F790F9"/>
    <w:rsid w:val="75FBF5FD"/>
    <w:rsid w:val="75FF233D"/>
    <w:rsid w:val="75FF2C52"/>
    <w:rsid w:val="75FFAD33"/>
    <w:rsid w:val="75FFF67E"/>
    <w:rsid w:val="76192A5D"/>
    <w:rsid w:val="76257ECB"/>
    <w:rsid w:val="7633013D"/>
    <w:rsid w:val="763B3092"/>
    <w:rsid w:val="7667D3A8"/>
    <w:rsid w:val="766FE2ED"/>
    <w:rsid w:val="767259F8"/>
    <w:rsid w:val="76777AD2"/>
    <w:rsid w:val="767BEE7B"/>
    <w:rsid w:val="767D3C4C"/>
    <w:rsid w:val="767E6269"/>
    <w:rsid w:val="767FC9FE"/>
    <w:rsid w:val="76928C81"/>
    <w:rsid w:val="769FBDC6"/>
    <w:rsid w:val="76AE1CFC"/>
    <w:rsid w:val="76BEC3AB"/>
    <w:rsid w:val="76BFD1D9"/>
    <w:rsid w:val="76C423E1"/>
    <w:rsid w:val="76CB341F"/>
    <w:rsid w:val="76CBA7A4"/>
    <w:rsid w:val="76D309AF"/>
    <w:rsid w:val="76DD2A02"/>
    <w:rsid w:val="76DE6552"/>
    <w:rsid w:val="76E13CE2"/>
    <w:rsid w:val="76EA4812"/>
    <w:rsid w:val="76F021AC"/>
    <w:rsid w:val="76F2EB4C"/>
    <w:rsid w:val="76F5BD66"/>
    <w:rsid w:val="76F77120"/>
    <w:rsid w:val="76F93AD5"/>
    <w:rsid w:val="76FACD7E"/>
    <w:rsid w:val="76FB37B8"/>
    <w:rsid w:val="76FDAB32"/>
    <w:rsid w:val="76FEB31C"/>
    <w:rsid w:val="76FF0BCB"/>
    <w:rsid w:val="76FF2CAB"/>
    <w:rsid w:val="76FF5C8A"/>
    <w:rsid w:val="76FFBE9A"/>
    <w:rsid w:val="76FFF60D"/>
    <w:rsid w:val="76FFFF34"/>
    <w:rsid w:val="770F3BB3"/>
    <w:rsid w:val="77190295"/>
    <w:rsid w:val="771F497F"/>
    <w:rsid w:val="7723067C"/>
    <w:rsid w:val="77243289"/>
    <w:rsid w:val="772F271E"/>
    <w:rsid w:val="773F0513"/>
    <w:rsid w:val="77570E35"/>
    <w:rsid w:val="77578EFF"/>
    <w:rsid w:val="7757C373"/>
    <w:rsid w:val="775B5E63"/>
    <w:rsid w:val="775B66B3"/>
    <w:rsid w:val="775E724E"/>
    <w:rsid w:val="775F163F"/>
    <w:rsid w:val="775F2453"/>
    <w:rsid w:val="776593FF"/>
    <w:rsid w:val="776B5D3C"/>
    <w:rsid w:val="776BD345"/>
    <w:rsid w:val="776F3454"/>
    <w:rsid w:val="776FBBF3"/>
    <w:rsid w:val="7773F818"/>
    <w:rsid w:val="7774101C"/>
    <w:rsid w:val="777928E4"/>
    <w:rsid w:val="7779F9D7"/>
    <w:rsid w:val="777D8383"/>
    <w:rsid w:val="777E5B78"/>
    <w:rsid w:val="777EAAA3"/>
    <w:rsid w:val="777F8321"/>
    <w:rsid w:val="777F949E"/>
    <w:rsid w:val="7789384E"/>
    <w:rsid w:val="7794145D"/>
    <w:rsid w:val="77964314"/>
    <w:rsid w:val="7797191D"/>
    <w:rsid w:val="779BF40A"/>
    <w:rsid w:val="779FA933"/>
    <w:rsid w:val="77A34752"/>
    <w:rsid w:val="77A705D7"/>
    <w:rsid w:val="77AB498E"/>
    <w:rsid w:val="77B60B4B"/>
    <w:rsid w:val="77B9BAA8"/>
    <w:rsid w:val="77BCD33F"/>
    <w:rsid w:val="77BD6CCE"/>
    <w:rsid w:val="77BD9B2E"/>
    <w:rsid w:val="77BDA139"/>
    <w:rsid w:val="77BEAEAB"/>
    <w:rsid w:val="77CA727A"/>
    <w:rsid w:val="77CD2037"/>
    <w:rsid w:val="77CE048C"/>
    <w:rsid w:val="77CF4C5F"/>
    <w:rsid w:val="77D6B98D"/>
    <w:rsid w:val="77D78D55"/>
    <w:rsid w:val="77DB4115"/>
    <w:rsid w:val="77DB55A6"/>
    <w:rsid w:val="77DF8BA2"/>
    <w:rsid w:val="77DFCAA7"/>
    <w:rsid w:val="77E7680A"/>
    <w:rsid w:val="77EBAFA1"/>
    <w:rsid w:val="77EBCA1F"/>
    <w:rsid w:val="77EDE589"/>
    <w:rsid w:val="77EF0677"/>
    <w:rsid w:val="77EF92EE"/>
    <w:rsid w:val="77EF9D4C"/>
    <w:rsid w:val="77EFA700"/>
    <w:rsid w:val="77EFAB4C"/>
    <w:rsid w:val="77EFB8CB"/>
    <w:rsid w:val="77EFFCA7"/>
    <w:rsid w:val="77F1A39D"/>
    <w:rsid w:val="77F2E1C1"/>
    <w:rsid w:val="77F3FC32"/>
    <w:rsid w:val="77F54EA0"/>
    <w:rsid w:val="77F64A5E"/>
    <w:rsid w:val="77F6B61B"/>
    <w:rsid w:val="77F747B5"/>
    <w:rsid w:val="77F777AA"/>
    <w:rsid w:val="77F7DC5A"/>
    <w:rsid w:val="77F7F198"/>
    <w:rsid w:val="77F9700F"/>
    <w:rsid w:val="77FA954E"/>
    <w:rsid w:val="77FB2FE9"/>
    <w:rsid w:val="77FBBFFC"/>
    <w:rsid w:val="77FBD837"/>
    <w:rsid w:val="77FBF0C6"/>
    <w:rsid w:val="77FD3CE4"/>
    <w:rsid w:val="77FD434B"/>
    <w:rsid w:val="77FDC807"/>
    <w:rsid w:val="77FDDDCC"/>
    <w:rsid w:val="77FE1AA3"/>
    <w:rsid w:val="77FE4AE8"/>
    <w:rsid w:val="77FF380E"/>
    <w:rsid w:val="77FF4708"/>
    <w:rsid w:val="77FF6C90"/>
    <w:rsid w:val="77FF982A"/>
    <w:rsid w:val="77FFF507"/>
    <w:rsid w:val="77FFFB50"/>
    <w:rsid w:val="781E1E6C"/>
    <w:rsid w:val="78217AD7"/>
    <w:rsid w:val="782E7F43"/>
    <w:rsid w:val="783C3F8D"/>
    <w:rsid w:val="786133EF"/>
    <w:rsid w:val="7892663D"/>
    <w:rsid w:val="78973998"/>
    <w:rsid w:val="789A664A"/>
    <w:rsid w:val="789FBCE3"/>
    <w:rsid w:val="78AC06B1"/>
    <w:rsid w:val="78D6620D"/>
    <w:rsid w:val="78DFC473"/>
    <w:rsid w:val="78E2521B"/>
    <w:rsid w:val="78EB7EB9"/>
    <w:rsid w:val="78F7F948"/>
    <w:rsid w:val="78FBC09F"/>
    <w:rsid w:val="78FF4035"/>
    <w:rsid w:val="7917D363"/>
    <w:rsid w:val="7929E083"/>
    <w:rsid w:val="794B9C1B"/>
    <w:rsid w:val="794F1762"/>
    <w:rsid w:val="79625D1A"/>
    <w:rsid w:val="797402D5"/>
    <w:rsid w:val="797D34B7"/>
    <w:rsid w:val="797D3E57"/>
    <w:rsid w:val="79806E5A"/>
    <w:rsid w:val="79936F73"/>
    <w:rsid w:val="799FAE9A"/>
    <w:rsid w:val="79B58D08"/>
    <w:rsid w:val="79BF14E7"/>
    <w:rsid w:val="79BF9E9A"/>
    <w:rsid w:val="79C36933"/>
    <w:rsid w:val="79C7CE12"/>
    <w:rsid w:val="79D37F42"/>
    <w:rsid w:val="79E41054"/>
    <w:rsid w:val="79E56E3F"/>
    <w:rsid w:val="79E5CC5B"/>
    <w:rsid w:val="79E7012A"/>
    <w:rsid w:val="79ED7C4E"/>
    <w:rsid w:val="79F5FE8E"/>
    <w:rsid w:val="79F75044"/>
    <w:rsid w:val="79FA3358"/>
    <w:rsid w:val="79FB1234"/>
    <w:rsid w:val="79FC10EC"/>
    <w:rsid w:val="79FD5538"/>
    <w:rsid w:val="79FD5E35"/>
    <w:rsid w:val="79FF0E46"/>
    <w:rsid w:val="79FF5793"/>
    <w:rsid w:val="79FF9CF1"/>
    <w:rsid w:val="7A19376D"/>
    <w:rsid w:val="7A3142E5"/>
    <w:rsid w:val="7A3724B6"/>
    <w:rsid w:val="7A3D0391"/>
    <w:rsid w:val="7A407DF6"/>
    <w:rsid w:val="7A55BBBC"/>
    <w:rsid w:val="7A5B350B"/>
    <w:rsid w:val="7A5D87E9"/>
    <w:rsid w:val="7A65732D"/>
    <w:rsid w:val="7A69C67D"/>
    <w:rsid w:val="7A72502B"/>
    <w:rsid w:val="7A7B6E9B"/>
    <w:rsid w:val="7A8F5522"/>
    <w:rsid w:val="7A93180D"/>
    <w:rsid w:val="7A9FE7B6"/>
    <w:rsid w:val="7AAA367C"/>
    <w:rsid w:val="7AB68818"/>
    <w:rsid w:val="7AB7C76D"/>
    <w:rsid w:val="7AB9FCD9"/>
    <w:rsid w:val="7ABC9F64"/>
    <w:rsid w:val="7ABEEB81"/>
    <w:rsid w:val="7ABEFAAE"/>
    <w:rsid w:val="7ABF1F6F"/>
    <w:rsid w:val="7AD6A2D2"/>
    <w:rsid w:val="7ADDBC04"/>
    <w:rsid w:val="7AE4697F"/>
    <w:rsid w:val="7AEB7276"/>
    <w:rsid w:val="7AEE1505"/>
    <w:rsid w:val="7AEF0982"/>
    <w:rsid w:val="7AF93E2C"/>
    <w:rsid w:val="7AFBC2CB"/>
    <w:rsid w:val="7AFC4327"/>
    <w:rsid w:val="7AFD3D28"/>
    <w:rsid w:val="7AFE9502"/>
    <w:rsid w:val="7AFFE98F"/>
    <w:rsid w:val="7AFFFAFD"/>
    <w:rsid w:val="7B062A00"/>
    <w:rsid w:val="7B0C4DFF"/>
    <w:rsid w:val="7B14FD5D"/>
    <w:rsid w:val="7B1E11CF"/>
    <w:rsid w:val="7B3D5F19"/>
    <w:rsid w:val="7B3FAE42"/>
    <w:rsid w:val="7B4650E2"/>
    <w:rsid w:val="7B4B567D"/>
    <w:rsid w:val="7B4D6B55"/>
    <w:rsid w:val="7B5A3F79"/>
    <w:rsid w:val="7B5B4696"/>
    <w:rsid w:val="7B5E2CC9"/>
    <w:rsid w:val="7B5EF538"/>
    <w:rsid w:val="7B6B3344"/>
    <w:rsid w:val="7B6D51A0"/>
    <w:rsid w:val="7B6F1BF0"/>
    <w:rsid w:val="7B6FDAC3"/>
    <w:rsid w:val="7B73280B"/>
    <w:rsid w:val="7B7704D8"/>
    <w:rsid w:val="7B7A0C6E"/>
    <w:rsid w:val="7B7C7B82"/>
    <w:rsid w:val="7B7D78A3"/>
    <w:rsid w:val="7B7F50C8"/>
    <w:rsid w:val="7B7F7C4B"/>
    <w:rsid w:val="7B7FB4D5"/>
    <w:rsid w:val="7B7FC829"/>
    <w:rsid w:val="7B9F8492"/>
    <w:rsid w:val="7BA6925A"/>
    <w:rsid w:val="7BA7BE82"/>
    <w:rsid w:val="7BAB1F02"/>
    <w:rsid w:val="7BAE8525"/>
    <w:rsid w:val="7BB56714"/>
    <w:rsid w:val="7BB76C4F"/>
    <w:rsid w:val="7BB7BCAE"/>
    <w:rsid w:val="7BB9F4C9"/>
    <w:rsid w:val="7BBBE239"/>
    <w:rsid w:val="7BBBF6A5"/>
    <w:rsid w:val="7BBDE470"/>
    <w:rsid w:val="7BBE103A"/>
    <w:rsid w:val="7BBE3DBA"/>
    <w:rsid w:val="7BBFA533"/>
    <w:rsid w:val="7BBFBA95"/>
    <w:rsid w:val="7BC5DBF5"/>
    <w:rsid w:val="7BC6B18D"/>
    <w:rsid w:val="7BC9328B"/>
    <w:rsid w:val="7BCC255C"/>
    <w:rsid w:val="7BCE9B82"/>
    <w:rsid w:val="7BCFF90A"/>
    <w:rsid w:val="7BD3D680"/>
    <w:rsid w:val="7BD5581E"/>
    <w:rsid w:val="7BD64BEC"/>
    <w:rsid w:val="7BD7F0DC"/>
    <w:rsid w:val="7BDD2B8A"/>
    <w:rsid w:val="7BDF750C"/>
    <w:rsid w:val="7BDF98B2"/>
    <w:rsid w:val="7BDFA6FF"/>
    <w:rsid w:val="7BDFC0A5"/>
    <w:rsid w:val="7BE12AF9"/>
    <w:rsid w:val="7BE38639"/>
    <w:rsid w:val="7BE5CAB1"/>
    <w:rsid w:val="7BE5EABA"/>
    <w:rsid w:val="7BE7C40D"/>
    <w:rsid w:val="7BE85416"/>
    <w:rsid w:val="7BEB9E6D"/>
    <w:rsid w:val="7BED7DB9"/>
    <w:rsid w:val="7BEEC35D"/>
    <w:rsid w:val="7BEF6F3A"/>
    <w:rsid w:val="7BEF8973"/>
    <w:rsid w:val="7BEF9C35"/>
    <w:rsid w:val="7BF20B59"/>
    <w:rsid w:val="7BF2296E"/>
    <w:rsid w:val="7BF2A958"/>
    <w:rsid w:val="7BF32C77"/>
    <w:rsid w:val="7BF38020"/>
    <w:rsid w:val="7BF67A6A"/>
    <w:rsid w:val="7BF70E69"/>
    <w:rsid w:val="7BF71D9D"/>
    <w:rsid w:val="7BF74122"/>
    <w:rsid w:val="7BF7A1A7"/>
    <w:rsid w:val="7BF88CC2"/>
    <w:rsid w:val="7BF92115"/>
    <w:rsid w:val="7BF9BA04"/>
    <w:rsid w:val="7BFA5379"/>
    <w:rsid w:val="7BFD98C0"/>
    <w:rsid w:val="7BFDAD2F"/>
    <w:rsid w:val="7BFDC6BA"/>
    <w:rsid w:val="7BFE1ED8"/>
    <w:rsid w:val="7BFE52A5"/>
    <w:rsid w:val="7BFE7341"/>
    <w:rsid w:val="7BFEBBF8"/>
    <w:rsid w:val="7BFEE988"/>
    <w:rsid w:val="7BFEE9A9"/>
    <w:rsid w:val="7BFF2406"/>
    <w:rsid w:val="7BFF3426"/>
    <w:rsid w:val="7BFF3EB6"/>
    <w:rsid w:val="7BFF5AE7"/>
    <w:rsid w:val="7BFF85BE"/>
    <w:rsid w:val="7BFF89CA"/>
    <w:rsid w:val="7BFF9D75"/>
    <w:rsid w:val="7BFFA951"/>
    <w:rsid w:val="7BFFAB48"/>
    <w:rsid w:val="7BFFB105"/>
    <w:rsid w:val="7BFFB6D1"/>
    <w:rsid w:val="7BFFC837"/>
    <w:rsid w:val="7BFFEC8E"/>
    <w:rsid w:val="7BFFED97"/>
    <w:rsid w:val="7BFFEE9C"/>
    <w:rsid w:val="7C0987F6"/>
    <w:rsid w:val="7C2FD728"/>
    <w:rsid w:val="7C6DD176"/>
    <w:rsid w:val="7C752CA5"/>
    <w:rsid w:val="7C76E056"/>
    <w:rsid w:val="7C77C5D9"/>
    <w:rsid w:val="7C7F88BE"/>
    <w:rsid w:val="7C7FF16D"/>
    <w:rsid w:val="7C8C418F"/>
    <w:rsid w:val="7C9F59D7"/>
    <w:rsid w:val="7CBFA2E9"/>
    <w:rsid w:val="7CC17A33"/>
    <w:rsid w:val="7CC1A52E"/>
    <w:rsid w:val="7CC57F8A"/>
    <w:rsid w:val="7CDB0B3A"/>
    <w:rsid w:val="7CDF08B4"/>
    <w:rsid w:val="7CDF7F0B"/>
    <w:rsid w:val="7CDFB95E"/>
    <w:rsid w:val="7CED520C"/>
    <w:rsid w:val="7CEF98F8"/>
    <w:rsid w:val="7CEFAA53"/>
    <w:rsid w:val="7CF5BB69"/>
    <w:rsid w:val="7CF618D0"/>
    <w:rsid w:val="7CF7FEB3"/>
    <w:rsid w:val="7CFC8988"/>
    <w:rsid w:val="7CFCE8CB"/>
    <w:rsid w:val="7CFE0F56"/>
    <w:rsid w:val="7CFE560B"/>
    <w:rsid w:val="7CFEA130"/>
    <w:rsid w:val="7CFF1444"/>
    <w:rsid w:val="7D1C3BF0"/>
    <w:rsid w:val="7D1F51EF"/>
    <w:rsid w:val="7D2B7B54"/>
    <w:rsid w:val="7D3DBE39"/>
    <w:rsid w:val="7D51A511"/>
    <w:rsid w:val="7D5B193A"/>
    <w:rsid w:val="7D5B613D"/>
    <w:rsid w:val="7D5D983D"/>
    <w:rsid w:val="7D5F3443"/>
    <w:rsid w:val="7D5FF605"/>
    <w:rsid w:val="7D6315A6"/>
    <w:rsid w:val="7D661A48"/>
    <w:rsid w:val="7D6D0E65"/>
    <w:rsid w:val="7D7533BD"/>
    <w:rsid w:val="7D7966FB"/>
    <w:rsid w:val="7D7D222E"/>
    <w:rsid w:val="7D7F44E9"/>
    <w:rsid w:val="7D85DB8C"/>
    <w:rsid w:val="7D92595C"/>
    <w:rsid w:val="7D9558E9"/>
    <w:rsid w:val="7D9BF15D"/>
    <w:rsid w:val="7DA6EEB0"/>
    <w:rsid w:val="7DA803C8"/>
    <w:rsid w:val="7DB73433"/>
    <w:rsid w:val="7DB7D4BF"/>
    <w:rsid w:val="7DBB1888"/>
    <w:rsid w:val="7DBB199B"/>
    <w:rsid w:val="7DBD86FE"/>
    <w:rsid w:val="7DBD8DAF"/>
    <w:rsid w:val="7DBDF91C"/>
    <w:rsid w:val="7DBE2B9B"/>
    <w:rsid w:val="7DBEAE64"/>
    <w:rsid w:val="7DBEE2B9"/>
    <w:rsid w:val="7DBFE17D"/>
    <w:rsid w:val="7DBFED87"/>
    <w:rsid w:val="7DCD9B20"/>
    <w:rsid w:val="7DCDA6AA"/>
    <w:rsid w:val="7DCF0CC9"/>
    <w:rsid w:val="7DD11EA1"/>
    <w:rsid w:val="7DDA5910"/>
    <w:rsid w:val="7DDB5232"/>
    <w:rsid w:val="7DDBDCBC"/>
    <w:rsid w:val="7DDEAA35"/>
    <w:rsid w:val="7DDF4337"/>
    <w:rsid w:val="7DDFFECC"/>
    <w:rsid w:val="7DE5E071"/>
    <w:rsid w:val="7DE617CC"/>
    <w:rsid w:val="7DE7EE1A"/>
    <w:rsid w:val="7DE90366"/>
    <w:rsid w:val="7DEB074B"/>
    <w:rsid w:val="7DEB177B"/>
    <w:rsid w:val="7DEB2A2A"/>
    <w:rsid w:val="7DED1110"/>
    <w:rsid w:val="7DEE08E1"/>
    <w:rsid w:val="7DEF869D"/>
    <w:rsid w:val="7DEF9B3F"/>
    <w:rsid w:val="7DF1D804"/>
    <w:rsid w:val="7DF506E4"/>
    <w:rsid w:val="7DF69F6F"/>
    <w:rsid w:val="7DF6AF62"/>
    <w:rsid w:val="7DF6F71F"/>
    <w:rsid w:val="7DF78C49"/>
    <w:rsid w:val="7DF9B2D4"/>
    <w:rsid w:val="7DFB525C"/>
    <w:rsid w:val="7DFB79AF"/>
    <w:rsid w:val="7DFBFD33"/>
    <w:rsid w:val="7DFC8F66"/>
    <w:rsid w:val="7DFC90ED"/>
    <w:rsid w:val="7DFC9FCC"/>
    <w:rsid w:val="7DFCD313"/>
    <w:rsid w:val="7DFD13D1"/>
    <w:rsid w:val="7DFD390A"/>
    <w:rsid w:val="7DFD8C0C"/>
    <w:rsid w:val="7DFE026C"/>
    <w:rsid w:val="7DFE0A24"/>
    <w:rsid w:val="7DFE4039"/>
    <w:rsid w:val="7DFE4BB6"/>
    <w:rsid w:val="7DFF07B9"/>
    <w:rsid w:val="7DFF0945"/>
    <w:rsid w:val="7DFF442A"/>
    <w:rsid w:val="7DFF6CAC"/>
    <w:rsid w:val="7DFF713C"/>
    <w:rsid w:val="7DFF7CEC"/>
    <w:rsid w:val="7DFFA52E"/>
    <w:rsid w:val="7DFFC0FC"/>
    <w:rsid w:val="7DFFC112"/>
    <w:rsid w:val="7DFFC5A7"/>
    <w:rsid w:val="7DFFCC75"/>
    <w:rsid w:val="7E2D37F0"/>
    <w:rsid w:val="7E2E2A1E"/>
    <w:rsid w:val="7E39F816"/>
    <w:rsid w:val="7E3D0FC4"/>
    <w:rsid w:val="7E4F1C64"/>
    <w:rsid w:val="7E5B3528"/>
    <w:rsid w:val="7E5F571E"/>
    <w:rsid w:val="7E5FBECD"/>
    <w:rsid w:val="7E673881"/>
    <w:rsid w:val="7E697BB3"/>
    <w:rsid w:val="7E6E0173"/>
    <w:rsid w:val="7E6FAE81"/>
    <w:rsid w:val="7E779EDD"/>
    <w:rsid w:val="7E77B58A"/>
    <w:rsid w:val="7E77E8E2"/>
    <w:rsid w:val="7E7B18DA"/>
    <w:rsid w:val="7E7EA37E"/>
    <w:rsid w:val="7E7F226E"/>
    <w:rsid w:val="7E7F29D3"/>
    <w:rsid w:val="7E7F979A"/>
    <w:rsid w:val="7E8B432B"/>
    <w:rsid w:val="7E9B035D"/>
    <w:rsid w:val="7E9B58C2"/>
    <w:rsid w:val="7E9BFDB7"/>
    <w:rsid w:val="7E9F62D9"/>
    <w:rsid w:val="7EA57139"/>
    <w:rsid w:val="7EAF1995"/>
    <w:rsid w:val="7EAF6F6F"/>
    <w:rsid w:val="7EBBB652"/>
    <w:rsid w:val="7EBCE463"/>
    <w:rsid w:val="7EBE9DF0"/>
    <w:rsid w:val="7EBE9FAA"/>
    <w:rsid w:val="7EBEF89A"/>
    <w:rsid w:val="7EBF1CAE"/>
    <w:rsid w:val="7EBF4485"/>
    <w:rsid w:val="7EBF6ADF"/>
    <w:rsid w:val="7EBFED3A"/>
    <w:rsid w:val="7EBFEEB6"/>
    <w:rsid w:val="7EC68AE9"/>
    <w:rsid w:val="7ECE88BC"/>
    <w:rsid w:val="7ED52E38"/>
    <w:rsid w:val="7ED611C2"/>
    <w:rsid w:val="7ED9544A"/>
    <w:rsid w:val="7EDBB7BF"/>
    <w:rsid w:val="7EDBC1DC"/>
    <w:rsid w:val="7EDDE9D9"/>
    <w:rsid w:val="7EDE77CC"/>
    <w:rsid w:val="7EDE8B97"/>
    <w:rsid w:val="7EDEA02E"/>
    <w:rsid w:val="7EDFB8E5"/>
    <w:rsid w:val="7EE8C85C"/>
    <w:rsid w:val="7EEA7F77"/>
    <w:rsid w:val="7EEC5678"/>
    <w:rsid w:val="7EEF5305"/>
    <w:rsid w:val="7EEFECD7"/>
    <w:rsid w:val="7EEFF20B"/>
    <w:rsid w:val="7EF6DB22"/>
    <w:rsid w:val="7EF74646"/>
    <w:rsid w:val="7EF78D7C"/>
    <w:rsid w:val="7EF7A49A"/>
    <w:rsid w:val="7EF80FDD"/>
    <w:rsid w:val="7EF824BF"/>
    <w:rsid w:val="7EF9880E"/>
    <w:rsid w:val="7EF9A55C"/>
    <w:rsid w:val="7EFA03E4"/>
    <w:rsid w:val="7EFA732C"/>
    <w:rsid w:val="7EFA8A1C"/>
    <w:rsid w:val="7EFB462D"/>
    <w:rsid w:val="7EFD273F"/>
    <w:rsid w:val="7EFD3198"/>
    <w:rsid w:val="7EFD7CFA"/>
    <w:rsid w:val="7EFDF56D"/>
    <w:rsid w:val="7EFE280D"/>
    <w:rsid w:val="7EFF35CB"/>
    <w:rsid w:val="7EFF39CD"/>
    <w:rsid w:val="7EFF5F0E"/>
    <w:rsid w:val="7EFF6B9F"/>
    <w:rsid w:val="7EFF72E1"/>
    <w:rsid w:val="7EFF9D2C"/>
    <w:rsid w:val="7EFFC736"/>
    <w:rsid w:val="7F06C2F1"/>
    <w:rsid w:val="7F15786E"/>
    <w:rsid w:val="7F178560"/>
    <w:rsid w:val="7F2EA18A"/>
    <w:rsid w:val="7F35900D"/>
    <w:rsid w:val="7F36BD51"/>
    <w:rsid w:val="7F3B120D"/>
    <w:rsid w:val="7F3B42FA"/>
    <w:rsid w:val="7F3BA46F"/>
    <w:rsid w:val="7F3BDBD0"/>
    <w:rsid w:val="7F3D3D9A"/>
    <w:rsid w:val="7F3ECA2B"/>
    <w:rsid w:val="7F3EDE71"/>
    <w:rsid w:val="7F3F1DF8"/>
    <w:rsid w:val="7F3FF3F7"/>
    <w:rsid w:val="7F43AC18"/>
    <w:rsid w:val="7F496254"/>
    <w:rsid w:val="7F4A454E"/>
    <w:rsid w:val="7F4E1085"/>
    <w:rsid w:val="7F4E2B9D"/>
    <w:rsid w:val="7F4E545F"/>
    <w:rsid w:val="7F4F47B7"/>
    <w:rsid w:val="7F4FA809"/>
    <w:rsid w:val="7F57ADE4"/>
    <w:rsid w:val="7F57C5EE"/>
    <w:rsid w:val="7F5B32B6"/>
    <w:rsid w:val="7F5B3696"/>
    <w:rsid w:val="7F5B5B04"/>
    <w:rsid w:val="7F5BBF3A"/>
    <w:rsid w:val="7F5BC039"/>
    <w:rsid w:val="7F5F1454"/>
    <w:rsid w:val="7F5F3B5C"/>
    <w:rsid w:val="7F641DB7"/>
    <w:rsid w:val="7F65BF3D"/>
    <w:rsid w:val="7F6A57AE"/>
    <w:rsid w:val="7F710F43"/>
    <w:rsid w:val="7F723EBE"/>
    <w:rsid w:val="7F76E6A3"/>
    <w:rsid w:val="7F773CF6"/>
    <w:rsid w:val="7F774158"/>
    <w:rsid w:val="7F77421F"/>
    <w:rsid w:val="7F796978"/>
    <w:rsid w:val="7F79F02A"/>
    <w:rsid w:val="7F7B509D"/>
    <w:rsid w:val="7F7BDC7D"/>
    <w:rsid w:val="7F7BE976"/>
    <w:rsid w:val="7F7C2E30"/>
    <w:rsid w:val="7F7CD1C7"/>
    <w:rsid w:val="7F7D1149"/>
    <w:rsid w:val="7F7D31CD"/>
    <w:rsid w:val="7F7D3225"/>
    <w:rsid w:val="7F7E1AB6"/>
    <w:rsid w:val="7F7E5786"/>
    <w:rsid w:val="7F7EC95A"/>
    <w:rsid w:val="7F7F0C2A"/>
    <w:rsid w:val="7F7F0D99"/>
    <w:rsid w:val="7F7F2676"/>
    <w:rsid w:val="7F7F30AD"/>
    <w:rsid w:val="7F7F5722"/>
    <w:rsid w:val="7F7F87C0"/>
    <w:rsid w:val="7F7FB60E"/>
    <w:rsid w:val="7F7FC001"/>
    <w:rsid w:val="7F7FE0A0"/>
    <w:rsid w:val="7F7FE421"/>
    <w:rsid w:val="7F81F16E"/>
    <w:rsid w:val="7F874111"/>
    <w:rsid w:val="7F8780E6"/>
    <w:rsid w:val="7F8AA31D"/>
    <w:rsid w:val="7F8D84DD"/>
    <w:rsid w:val="7F8E744A"/>
    <w:rsid w:val="7F913BBA"/>
    <w:rsid w:val="7F971987"/>
    <w:rsid w:val="7F9988BA"/>
    <w:rsid w:val="7F99C08D"/>
    <w:rsid w:val="7F9B30D1"/>
    <w:rsid w:val="7F9B69FD"/>
    <w:rsid w:val="7F9BA4D5"/>
    <w:rsid w:val="7F9D0E16"/>
    <w:rsid w:val="7F9DDF35"/>
    <w:rsid w:val="7F9F4739"/>
    <w:rsid w:val="7F9F61C2"/>
    <w:rsid w:val="7FA2B87C"/>
    <w:rsid w:val="7FA3EC3F"/>
    <w:rsid w:val="7FAA19D6"/>
    <w:rsid w:val="7FABD9AC"/>
    <w:rsid w:val="7FAC8BDF"/>
    <w:rsid w:val="7FAF1A94"/>
    <w:rsid w:val="7FAF80A1"/>
    <w:rsid w:val="7FAFA17C"/>
    <w:rsid w:val="7FB24FEF"/>
    <w:rsid w:val="7FB34B8C"/>
    <w:rsid w:val="7FB56EBD"/>
    <w:rsid w:val="7FB729D8"/>
    <w:rsid w:val="7FB75B50"/>
    <w:rsid w:val="7FBAA90E"/>
    <w:rsid w:val="7FBB224F"/>
    <w:rsid w:val="7FBB34F4"/>
    <w:rsid w:val="7FBB4355"/>
    <w:rsid w:val="7FBB4996"/>
    <w:rsid w:val="7FBB6F1C"/>
    <w:rsid w:val="7FBBDDE9"/>
    <w:rsid w:val="7FBD2665"/>
    <w:rsid w:val="7FBDBA79"/>
    <w:rsid w:val="7FBE0944"/>
    <w:rsid w:val="7FBE289D"/>
    <w:rsid w:val="7FBE6223"/>
    <w:rsid w:val="7FBE72C6"/>
    <w:rsid w:val="7FBF127F"/>
    <w:rsid w:val="7FBFA601"/>
    <w:rsid w:val="7FBFC4FF"/>
    <w:rsid w:val="7FC19648"/>
    <w:rsid w:val="7FC3D570"/>
    <w:rsid w:val="7FC57EFA"/>
    <w:rsid w:val="7FC777D9"/>
    <w:rsid w:val="7FCB59F2"/>
    <w:rsid w:val="7FCB7FD3"/>
    <w:rsid w:val="7FCC532C"/>
    <w:rsid w:val="7FCD14FA"/>
    <w:rsid w:val="7FCDF569"/>
    <w:rsid w:val="7FCDF7D0"/>
    <w:rsid w:val="7FCF23F5"/>
    <w:rsid w:val="7FCF76F6"/>
    <w:rsid w:val="7FCFF7B8"/>
    <w:rsid w:val="7FD2744C"/>
    <w:rsid w:val="7FD311C2"/>
    <w:rsid w:val="7FD5E600"/>
    <w:rsid w:val="7FD62537"/>
    <w:rsid w:val="7FD71E38"/>
    <w:rsid w:val="7FD79623"/>
    <w:rsid w:val="7FD7CA2B"/>
    <w:rsid w:val="7FD7CD88"/>
    <w:rsid w:val="7FDA7A74"/>
    <w:rsid w:val="7FDB06D1"/>
    <w:rsid w:val="7FDB36F4"/>
    <w:rsid w:val="7FDB5E04"/>
    <w:rsid w:val="7FDB9EC5"/>
    <w:rsid w:val="7FDDBAB6"/>
    <w:rsid w:val="7FDDDA55"/>
    <w:rsid w:val="7FDE0369"/>
    <w:rsid w:val="7FDE2DFC"/>
    <w:rsid w:val="7FDE4881"/>
    <w:rsid w:val="7FDE5D08"/>
    <w:rsid w:val="7FDF1069"/>
    <w:rsid w:val="7FDF13DD"/>
    <w:rsid w:val="7FDF3142"/>
    <w:rsid w:val="7FDF34DE"/>
    <w:rsid w:val="7FDF48E2"/>
    <w:rsid w:val="7FDFA74A"/>
    <w:rsid w:val="7FDFBDF8"/>
    <w:rsid w:val="7FDFEB03"/>
    <w:rsid w:val="7FDFEC6D"/>
    <w:rsid w:val="7FE1ACBE"/>
    <w:rsid w:val="7FE74838"/>
    <w:rsid w:val="7FE7A2EE"/>
    <w:rsid w:val="7FEA15F8"/>
    <w:rsid w:val="7FEB1C3D"/>
    <w:rsid w:val="7FEB2451"/>
    <w:rsid w:val="7FEB64F3"/>
    <w:rsid w:val="7FEB665F"/>
    <w:rsid w:val="7FED2541"/>
    <w:rsid w:val="7FED448D"/>
    <w:rsid w:val="7FED46C4"/>
    <w:rsid w:val="7FED50F1"/>
    <w:rsid w:val="7FED6255"/>
    <w:rsid w:val="7FED8902"/>
    <w:rsid w:val="7FEDC671"/>
    <w:rsid w:val="7FEDEBD5"/>
    <w:rsid w:val="7FEE12D8"/>
    <w:rsid w:val="7FEE9D25"/>
    <w:rsid w:val="7FEF2EDD"/>
    <w:rsid w:val="7FEF428C"/>
    <w:rsid w:val="7FEF70C5"/>
    <w:rsid w:val="7FEF8919"/>
    <w:rsid w:val="7FEF9E58"/>
    <w:rsid w:val="7FEFB9D0"/>
    <w:rsid w:val="7FEFCFE1"/>
    <w:rsid w:val="7FEFD02C"/>
    <w:rsid w:val="7FEFF3B4"/>
    <w:rsid w:val="7FF02DD3"/>
    <w:rsid w:val="7FF1AC86"/>
    <w:rsid w:val="7FF28897"/>
    <w:rsid w:val="7FF330A7"/>
    <w:rsid w:val="7FF3A194"/>
    <w:rsid w:val="7FF508D3"/>
    <w:rsid w:val="7FF5162E"/>
    <w:rsid w:val="7FF51D1C"/>
    <w:rsid w:val="7FF52372"/>
    <w:rsid w:val="7FF57FE7"/>
    <w:rsid w:val="7FF589DD"/>
    <w:rsid w:val="7FF6962F"/>
    <w:rsid w:val="7FF69CB9"/>
    <w:rsid w:val="7FF6A38E"/>
    <w:rsid w:val="7FF6F95C"/>
    <w:rsid w:val="7FF742BD"/>
    <w:rsid w:val="7FF77258"/>
    <w:rsid w:val="7FF775A3"/>
    <w:rsid w:val="7FF7811A"/>
    <w:rsid w:val="7FF7B7A9"/>
    <w:rsid w:val="7FF7BAAA"/>
    <w:rsid w:val="7FF7D319"/>
    <w:rsid w:val="7FF9374F"/>
    <w:rsid w:val="7FF98F40"/>
    <w:rsid w:val="7FF9BF83"/>
    <w:rsid w:val="7FF9FBF7"/>
    <w:rsid w:val="7FFA2B76"/>
    <w:rsid w:val="7FFA5D1D"/>
    <w:rsid w:val="7FFA6A7A"/>
    <w:rsid w:val="7FFA8F7B"/>
    <w:rsid w:val="7FFAF118"/>
    <w:rsid w:val="7FFB1047"/>
    <w:rsid w:val="7FFB4D35"/>
    <w:rsid w:val="7FFB6B9F"/>
    <w:rsid w:val="7FFB8FA5"/>
    <w:rsid w:val="7FFBA6B2"/>
    <w:rsid w:val="7FFBB051"/>
    <w:rsid w:val="7FFBC1C8"/>
    <w:rsid w:val="7FFC0151"/>
    <w:rsid w:val="7FFD1A9A"/>
    <w:rsid w:val="7FFD2EC3"/>
    <w:rsid w:val="7FFD888A"/>
    <w:rsid w:val="7FFDDB4F"/>
    <w:rsid w:val="7FFDDE82"/>
    <w:rsid w:val="7FFDF05B"/>
    <w:rsid w:val="7FFDFF40"/>
    <w:rsid w:val="7FFE19ED"/>
    <w:rsid w:val="7FFE23C0"/>
    <w:rsid w:val="7FFE5B9C"/>
    <w:rsid w:val="7FFE8E7D"/>
    <w:rsid w:val="7FFEA454"/>
    <w:rsid w:val="7FFED0C5"/>
    <w:rsid w:val="7FFEDB8B"/>
    <w:rsid w:val="7FFEF74A"/>
    <w:rsid w:val="7FFEF910"/>
    <w:rsid w:val="7FFF0420"/>
    <w:rsid w:val="7FFF2BCA"/>
    <w:rsid w:val="7FFF376F"/>
    <w:rsid w:val="7FFF3B28"/>
    <w:rsid w:val="7FFF3B7E"/>
    <w:rsid w:val="7FFF4872"/>
    <w:rsid w:val="7FFF5C25"/>
    <w:rsid w:val="7FFF60F9"/>
    <w:rsid w:val="7FFF61CE"/>
    <w:rsid w:val="7FFF6493"/>
    <w:rsid w:val="7FFF7EB7"/>
    <w:rsid w:val="7FFF8021"/>
    <w:rsid w:val="7FFF86E0"/>
    <w:rsid w:val="7FFF8D9F"/>
    <w:rsid w:val="7FFF8E2F"/>
    <w:rsid w:val="7FFF9AD5"/>
    <w:rsid w:val="7FFFA557"/>
    <w:rsid w:val="7FFFB087"/>
    <w:rsid w:val="7FFFD602"/>
    <w:rsid w:val="7FFFD899"/>
    <w:rsid w:val="7FFFF36C"/>
    <w:rsid w:val="7FFFF56F"/>
    <w:rsid w:val="8162E821"/>
    <w:rsid w:val="82EDD909"/>
    <w:rsid w:val="83FF4298"/>
    <w:rsid w:val="84F9753F"/>
    <w:rsid w:val="85F9C174"/>
    <w:rsid w:val="86F7E160"/>
    <w:rsid w:val="87768378"/>
    <w:rsid w:val="8A277033"/>
    <w:rsid w:val="8B43BF3F"/>
    <w:rsid w:val="8BDFC607"/>
    <w:rsid w:val="8BEFD6B6"/>
    <w:rsid w:val="8BFADFB1"/>
    <w:rsid w:val="8C86E491"/>
    <w:rsid w:val="8D370D6F"/>
    <w:rsid w:val="8DDF17EC"/>
    <w:rsid w:val="8DFB84F8"/>
    <w:rsid w:val="8E054FCF"/>
    <w:rsid w:val="8E72B584"/>
    <w:rsid w:val="8EBF40E1"/>
    <w:rsid w:val="8F7F9C42"/>
    <w:rsid w:val="8F7FAF7A"/>
    <w:rsid w:val="8FCFE827"/>
    <w:rsid w:val="8FDC9FA5"/>
    <w:rsid w:val="8FDF75F5"/>
    <w:rsid w:val="8FFE8173"/>
    <w:rsid w:val="926AD807"/>
    <w:rsid w:val="92DD5D2D"/>
    <w:rsid w:val="936F3881"/>
    <w:rsid w:val="93AEC3E4"/>
    <w:rsid w:val="957780A8"/>
    <w:rsid w:val="95DCF758"/>
    <w:rsid w:val="95DE891A"/>
    <w:rsid w:val="95F9AD0D"/>
    <w:rsid w:val="9661D5DE"/>
    <w:rsid w:val="967B41C5"/>
    <w:rsid w:val="96D90DE9"/>
    <w:rsid w:val="96E7B7EF"/>
    <w:rsid w:val="96EF050C"/>
    <w:rsid w:val="96FE24B0"/>
    <w:rsid w:val="97075694"/>
    <w:rsid w:val="975F773E"/>
    <w:rsid w:val="976E50F2"/>
    <w:rsid w:val="97B5B508"/>
    <w:rsid w:val="97CF9168"/>
    <w:rsid w:val="97DB2E49"/>
    <w:rsid w:val="97FDF723"/>
    <w:rsid w:val="97FF6594"/>
    <w:rsid w:val="97FFDF46"/>
    <w:rsid w:val="98B90D13"/>
    <w:rsid w:val="98D7D661"/>
    <w:rsid w:val="99530B74"/>
    <w:rsid w:val="9956B459"/>
    <w:rsid w:val="99CF6C27"/>
    <w:rsid w:val="9A67D0BC"/>
    <w:rsid w:val="9ABFB9BC"/>
    <w:rsid w:val="9ADCAB30"/>
    <w:rsid w:val="9AFF9F81"/>
    <w:rsid w:val="9B37E21E"/>
    <w:rsid w:val="9BAB838E"/>
    <w:rsid w:val="9BB9FB1E"/>
    <w:rsid w:val="9BCCD35F"/>
    <w:rsid w:val="9BDE2984"/>
    <w:rsid w:val="9BEF16F5"/>
    <w:rsid w:val="9BEF9751"/>
    <w:rsid w:val="9BFAC8EB"/>
    <w:rsid w:val="9BFCF007"/>
    <w:rsid w:val="9BFF33C1"/>
    <w:rsid w:val="9BFF4969"/>
    <w:rsid w:val="9CEF12C2"/>
    <w:rsid w:val="9CF7842B"/>
    <w:rsid w:val="9D26D4C3"/>
    <w:rsid w:val="9D5E3822"/>
    <w:rsid w:val="9D5F673F"/>
    <w:rsid w:val="9D7FD46C"/>
    <w:rsid w:val="9DABB42C"/>
    <w:rsid w:val="9DBF12B1"/>
    <w:rsid w:val="9DDC21F3"/>
    <w:rsid w:val="9DF7228B"/>
    <w:rsid w:val="9DFE3466"/>
    <w:rsid w:val="9E4E028D"/>
    <w:rsid w:val="9E5D361B"/>
    <w:rsid w:val="9E9A106E"/>
    <w:rsid w:val="9EAF8FA6"/>
    <w:rsid w:val="9EBFD03B"/>
    <w:rsid w:val="9EDF611F"/>
    <w:rsid w:val="9EFB7147"/>
    <w:rsid w:val="9EFE86DD"/>
    <w:rsid w:val="9EFFF78B"/>
    <w:rsid w:val="9F1F88D9"/>
    <w:rsid w:val="9F5F7B20"/>
    <w:rsid w:val="9F77864D"/>
    <w:rsid w:val="9F77BDF6"/>
    <w:rsid w:val="9F7B68F5"/>
    <w:rsid w:val="9F7C2BF6"/>
    <w:rsid w:val="9F7F51D2"/>
    <w:rsid w:val="9FB64DA3"/>
    <w:rsid w:val="9FBDAE2F"/>
    <w:rsid w:val="9FBDF3BE"/>
    <w:rsid w:val="9FD780EE"/>
    <w:rsid w:val="9FDD2416"/>
    <w:rsid w:val="9FDF161F"/>
    <w:rsid w:val="9FDFEB17"/>
    <w:rsid w:val="9FED6295"/>
    <w:rsid w:val="9FF2D191"/>
    <w:rsid w:val="9FF8F4D5"/>
    <w:rsid w:val="9FFA7148"/>
    <w:rsid w:val="9FFBD7D5"/>
    <w:rsid w:val="9FFE6A52"/>
    <w:rsid w:val="9FFE75CD"/>
    <w:rsid w:val="9FFF100D"/>
    <w:rsid w:val="9FFF47E4"/>
    <w:rsid w:val="9FFF543A"/>
    <w:rsid w:val="A1F2FC40"/>
    <w:rsid w:val="A2C65418"/>
    <w:rsid w:val="A3DDE485"/>
    <w:rsid w:val="A43BB4B5"/>
    <w:rsid w:val="A4FE65A7"/>
    <w:rsid w:val="A4FF7DE0"/>
    <w:rsid w:val="A5B93464"/>
    <w:rsid w:val="A5DF41D1"/>
    <w:rsid w:val="A5F5C256"/>
    <w:rsid w:val="A69C4260"/>
    <w:rsid w:val="A6ECB2AA"/>
    <w:rsid w:val="A6EF1763"/>
    <w:rsid w:val="A6FB2B86"/>
    <w:rsid w:val="A735E0F7"/>
    <w:rsid w:val="A7BBAA24"/>
    <w:rsid w:val="A7BBD4A3"/>
    <w:rsid w:val="A7BF7D76"/>
    <w:rsid w:val="A7DF88B5"/>
    <w:rsid w:val="A7EE9BE2"/>
    <w:rsid w:val="A7F3811E"/>
    <w:rsid w:val="A7F7D4D3"/>
    <w:rsid w:val="A7F7F93A"/>
    <w:rsid w:val="A7FF9E53"/>
    <w:rsid w:val="A997E32A"/>
    <w:rsid w:val="A9FD435B"/>
    <w:rsid w:val="A9FE5373"/>
    <w:rsid w:val="AA74077E"/>
    <w:rsid w:val="AA7DEF3E"/>
    <w:rsid w:val="AABCFA18"/>
    <w:rsid w:val="AB5B61BB"/>
    <w:rsid w:val="ABD951D4"/>
    <w:rsid w:val="ABEFD8FB"/>
    <w:rsid w:val="ABFEF90C"/>
    <w:rsid w:val="AC3E93BB"/>
    <w:rsid w:val="ACCD6150"/>
    <w:rsid w:val="ACD39BA1"/>
    <w:rsid w:val="AD27B9C3"/>
    <w:rsid w:val="AD3F0612"/>
    <w:rsid w:val="AD777CE0"/>
    <w:rsid w:val="AD99D4A1"/>
    <w:rsid w:val="ADA6D550"/>
    <w:rsid w:val="ADA7DE15"/>
    <w:rsid w:val="ADED8273"/>
    <w:rsid w:val="ADFB3D0E"/>
    <w:rsid w:val="ADFDF013"/>
    <w:rsid w:val="ADFF3CC0"/>
    <w:rsid w:val="AE392062"/>
    <w:rsid w:val="AE53955A"/>
    <w:rsid w:val="AE7B697B"/>
    <w:rsid w:val="AE9E53AE"/>
    <w:rsid w:val="AEBDE496"/>
    <w:rsid w:val="AEBFC122"/>
    <w:rsid w:val="AEDBC390"/>
    <w:rsid w:val="AEFAE93D"/>
    <w:rsid w:val="AEFFA3D8"/>
    <w:rsid w:val="AF237E84"/>
    <w:rsid w:val="AF2FA4CE"/>
    <w:rsid w:val="AF6E12B5"/>
    <w:rsid w:val="AF77D3C9"/>
    <w:rsid w:val="AF7F26AF"/>
    <w:rsid w:val="AF964109"/>
    <w:rsid w:val="AF9D0DAB"/>
    <w:rsid w:val="AFAC1B51"/>
    <w:rsid w:val="AFAFCB89"/>
    <w:rsid w:val="AFBD0E3F"/>
    <w:rsid w:val="AFC35882"/>
    <w:rsid w:val="AFCF67E0"/>
    <w:rsid w:val="AFCFB75F"/>
    <w:rsid w:val="AFDA3423"/>
    <w:rsid w:val="AFDE853F"/>
    <w:rsid w:val="AFDF1C4C"/>
    <w:rsid w:val="AFEFD7B3"/>
    <w:rsid w:val="AFF38BBD"/>
    <w:rsid w:val="AFF49F2E"/>
    <w:rsid w:val="AFF7C39D"/>
    <w:rsid w:val="AFF7C46E"/>
    <w:rsid w:val="AFFA404C"/>
    <w:rsid w:val="AFFB1A04"/>
    <w:rsid w:val="AFFB1BDE"/>
    <w:rsid w:val="AFFD378F"/>
    <w:rsid w:val="AFFDAB51"/>
    <w:rsid w:val="AFFDC21D"/>
    <w:rsid w:val="AFFE07F5"/>
    <w:rsid w:val="AFFE3154"/>
    <w:rsid w:val="AFFF443F"/>
    <w:rsid w:val="B177EB94"/>
    <w:rsid w:val="B1D633FE"/>
    <w:rsid w:val="B1FEC735"/>
    <w:rsid w:val="B2369922"/>
    <w:rsid w:val="B2DBBA83"/>
    <w:rsid w:val="B2DFE91B"/>
    <w:rsid w:val="B2E7B1B0"/>
    <w:rsid w:val="B3652D77"/>
    <w:rsid w:val="B39BDD88"/>
    <w:rsid w:val="B39D6F1B"/>
    <w:rsid w:val="B3DFBC69"/>
    <w:rsid w:val="B3EF970E"/>
    <w:rsid w:val="B3F99472"/>
    <w:rsid w:val="B3FAE8CB"/>
    <w:rsid w:val="B3FC080C"/>
    <w:rsid w:val="B3FFDF8A"/>
    <w:rsid w:val="B43E73E6"/>
    <w:rsid w:val="B53E9CC0"/>
    <w:rsid w:val="B57EF3EE"/>
    <w:rsid w:val="B57F2E67"/>
    <w:rsid w:val="B5DB1B10"/>
    <w:rsid w:val="B5EB8D27"/>
    <w:rsid w:val="B5EDAE58"/>
    <w:rsid w:val="B5F762FA"/>
    <w:rsid w:val="B5FB18D4"/>
    <w:rsid w:val="B5FBA4BA"/>
    <w:rsid w:val="B5FF01B9"/>
    <w:rsid w:val="B5FFA6F5"/>
    <w:rsid w:val="B61F6AF8"/>
    <w:rsid w:val="B63F340C"/>
    <w:rsid w:val="B66FCFF9"/>
    <w:rsid w:val="B6BFEC47"/>
    <w:rsid w:val="B6BFFCE6"/>
    <w:rsid w:val="B6CFDC84"/>
    <w:rsid w:val="B6DB0B16"/>
    <w:rsid w:val="B6F73A85"/>
    <w:rsid w:val="B6F7D31B"/>
    <w:rsid w:val="B6FE9723"/>
    <w:rsid w:val="B75DC5C2"/>
    <w:rsid w:val="B7735D7D"/>
    <w:rsid w:val="B77708EF"/>
    <w:rsid w:val="B77731D5"/>
    <w:rsid w:val="B77B4F26"/>
    <w:rsid w:val="B77FB766"/>
    <w:rsid w:val="B7B5A678"/>
    <w:rsid w:val="B7BD6D9F"/>
    <w:rsid w:val="B7CFCB10"/>
    <w:rsid w:val="B7EB3F9E"/>
    <w:rsid w:val="B7EF8084"/>
    <w:rsid w:val="B7EFF524"/>
    <w:rsid w:val="B7F78233"/>
    <w:rsid w:val="B7F9E600"/>
    <w:rsid w:val="B7FB7CCA"/>
    <w:rsid w:val="B7FBD6A4"/>
    <w:rsid w:val="B7FDD665"/>
    <w:rsid w:val="B7FF0801"/>
    <w:rsid w:val="B7FF22C2"/>
    <w:rsid w:val="B7FF3DC0"/>
    <w:rsid w:val="B7FF7150"/>
    <w:rsid w:val="B7FF91B0"/>
    <w:rsid w:val="B7FFA4B6"/>
    <w:rsid w:val="B8791169"/>
    <w:rsid w:val="B8CD0621"/>
    <w:rsid w:val="B8DF78AE"/>
    <w:rsid w:val="B8FB0D12"/>
    <w:rsid w:val="B8FF7964"/>
    <w:rsid w:val="B971B364"/>
    <w:rsid w:val="B97527F6"/>
    <w:rsid w:val="B97F5517"/>
    <w:rsid w:val="B9AA38DF"/>
    <w:rsid w:val="B9D908E0"/>
    <w:rsid w:val="B9F3AF00"/>
    <w:rsid w:val="B9F49B7F"/>
    <w:rsid w:val="B9F65AE4"/>
    <w:rsid w:val="B9F7E30F"/>
    <w:rsid w:val="B9FB9EDC"/>
    <w:rsid w:val="B9FBB6CC"/>
    <w:rsid w:val="B9FE7DEB"/>
    <w:rsid w:val="BA1C81AC"/>
    <w:rsid w:val="BA3F1F34"/>
    <w:rsid w:val="BA5A68C7"/>
    <w:rsid w:val="BA7D9853"/>
    <w:rsid w:val="BA9F0923"/>
    <w:rsid w:val="BAB4D2D1"/>
    <w:rsid w:val="BAD5F595"/>
    <w:rsid w:val="BAEF9AB3"/>
    <w:rsid w:val="BAEFDFAF"/>
    <w:rsid w:val="BAF97B35"/>
    <w:rsid w:val="BAFF55F0"/>
    <w:rsid w:val="BAFF8250"/>
    <w:rsid w:val="BB0A2C35"/>
    <w:rsid w:val="BB637F0A"/>
    <w:rsid w:val="BB6FBF30"/>
    <w:rsid w:val="BB72B96A"/>
    <w:rsid w:val="BB774C27"/>
    <w:rsid w:val="BB8FAA22"/>
    <w:rsid w:val="BBBD1468"/>
    <w:rsid w:val="BBC71D4A"/>
    <w:rsid w:val="BBDA697C"/>
    <w:rsid w:val="BBDD1BD4"/>
    <w:rsid w:val="BBDEED6F"/>
    <w:rsid w:val="BBE62885"/>
    <w:rsid w:val="BBED8870"/>
    <w:rsid w:val="BBEF53A3"/>
    <w:rsid w:val="BBF332B7"/>
    <w:rsid w:val="BBF3B211"/>
    <w:rsid w:val="BBF5136F"/>
    <w:rsid w:val="BBF51456"/>
    <w:rsid w:val="BBF72B2E"/>
    <w:rsid w:val="BBFA5F8F"/>
    <w:rsid w:val="BBFB27AE"/>
    <w:rsid w:val="BBFB5932"/>
    <w:rsid w:val="BBFB76E9"/>
    <w:rsid w:val="BBFD4A38"/>
    <w:rsid w:val="BBFF0101"/>
    <w:rsid w:val="BBFF5E58"/>
    <w:rsid w:val="BBFFDBCB"/>
    <w:rsid w:val="BBFFFEC6"/>
    <w:rsid w:val="BCAE9768"/>
    <w:rsid w:val="BCDC945A"/>
    <w:rsid w:val="BCE7034B"/>
    <w:rsid w:val="BCEEA3C4"/>
    <w:rsid w:val="BCF3794C"/>
    <w:rsid w:val="BCF5EA79"/>
    <w:rsid w:val="BCF78CCA"/>
    <w:rsid w:val="BCFE7BF9"/>
    <w:rsid w:val="BCFEF4FD"/>
    <w:rsid w:val="BCFFE529"/>
    <w:rsid w:val="BD1FF711"/>
    <w:rsid w:val="BD2E829B"/>
    <w:rsid w:val="BD3C905A"/>
    <w:rsid w:val="BD5D296A"/>
    <w:rsid w:val="BD6C94E5"/>
    <w:rsid w:val="BD6D31DE"/>
    <w:rsid w:val="BD7D1DC3"/>
    <w:rsid w:val="BD7D7997"/>
    <w:rsid w:val="BD7EA669"/>
    <w:rsid w:val="BD7F4FB9"/>
    <w:rsid w:val="BD7FCB68"/>
    <w:rsid w:val="BDB7C602"/>
    <w:rsid w:val="BDDA9E7F"/>
    <w:rsid w:val="BDDDEFA8"/>
    <w:rsid w:val="BDE7AAE8"/>
    <w:rsid w:val="BDEB8319"/>
    <w:rsid w:val="BDEE175D"/>
    <w:rsid w:val="BDEE9BB9"/>
    <w:rsid w:val="BDEFA60B"/>
    <w:rsid w:val="BDF72997"/>
    <w:rsid w:val="BDF78BC9"/>
    <w:rsid w:val="BDFB98A9"/>
    <w:rsid w:val="BDFDC1BA"/>
    <w:rsid w:val="BDFE9959"/>
    <w:rsid w:val="BDFF35FD"/>
    <w:rsid w:val="BDFFFB79"/>
    <w:rsid w:val="BE3B3D5C"/>
    <w:rsid w:val="BE3FB3EF"/>
    <w:rsid w:val="BE4CF169"/>
    <w:rsid w:val="BE54EAE1"/>
    <w:rsid w:val="BE66DD5E"/>
    <w:rsid w:val="BE6FF687"/>
    <w:rsid w:val="BE7AD56E"/>
    <w:rsid w:val="BE7D71E2"/>
    <w:rsid w:val="BE7FEFDB"/>
    <w:rsid w:val="BEB764B5"/>
    <w:rsid w:val="BEBF5F88"/>
    <w:rsid w:val="BEBF892C"/>
    <w:rsid w:val="BECF9BA5"/>
    <w:rsid w:val="BED7D537"/>
    <w:rsid w:val="BEDC225F"/>
    <w:rsid w:val="BEDD2A20"/>
    <w:rsid w:val="BEDF97E5"/>
    <w:rsid w:val="BEE17FCD"/>
    <w:rsid w:val="BEEB2857"/>
    <w:rsid w:val="BEED12D5"/>
    <w:rsid w:val="BEEDE027"/>
    <w:rsid w:val="BEEFD638"/>
    <w:rsid w:val="BEF336AB"/>
    <w:rsid w:val="BEFA6930"/>
    <w:rsid w:val="BEFD36CA"/>
    <w:rsid w:val="BEFE9FB5"/>
    <w:rsid w:val="BEFF294B"/>
    <w:rsid w:val="BEFF60CB"/>
    <w:rsid w:val="BEFFE7AB"/>
    <w:rsid w:val="BF1BA465"/>
    <w:rsid w:val="BF2C05ED"/>
    <w:rsid w:val="BF36B15A"/>
    <w:rsid w:val="BF3FC6E0"/>
    <w:rsid w:val="BF4E542F"/>
    <w:rsid w:val="BF4FF5A9"/>
    <w:rsid w:val="BF518DCC"/>
    <w:rsid w:val="BF53711F"/>
    <w:rsid w:val="BF5B4304"/>
    <w:rsid w:val="BF5F3A83"/>
    <w:rsid w:val="BF5FCB67"/>
    <w:rsid w:val="BF6BBB95"/>
    <w:rsid w:val="BF7683C5"/>
    <w:rsid w:val="BF7717AC"/>
    <w:rsid w:val="BF7AB68A"/>
    <w:rsid w:val="BF7AD767"/>
    <w:rsid w:val="BF7B2572"/>
    <w:rsid w:val="BF7D14C7"/>
    <w:rsid w:val="BF7F0333"/>
    <w:rsid w:val="BF7F9990"/>
    <w:rsid w:val="BF7FBEE8"/>
    <w:rsid w:val="BF7FD77D"/>
    <w:rsid w:val="BF875EF7"/>
    <w:rsid w:val="BF9E5857"/>
    <w:rsid w:val="BF9FF5E7"/>
    <w:rsid w:val="BFA67467"/>
    <w:rsid w:val="BFA7CBBE"/>
    <w:rsid w:val="BFAB5519"/>
    <w:rsid w:val="BFAE1A52"/>
    <w:rsid w:val="BFB92DA2"/>
    <w:rsid w:val="BFBD0040"/>
    <w:rsid w:val="BFBD1BBF"/>
    <w:rsid w:val="BFBD9328"/>
    <w:rsid w:val="BFBD99C6"/>
    <w:rsid w:val="BFBE2824"/>
    <w:rsid w:val="BFBEE044"/>
    <w:rsid w:val="BFBF013B"/>
    <w:rsid w:val="BFBF546F"/>
    <w:rsid w:val="BFBFA3B0"/>
    <w:rsid w:val="BFBFF1E9"/>
    <w:rsid w:val="BFC39AD6"/>
    <w:rsid w:val="BFC9CB26"/>
    <w:rsid w:val="BFCBBA84"/>
    <w:rsid w:val="BFCD1FC1"/>
    <w:rsid w:val="BFCFC436"/>
    <w:rsid w:val="BFD68813"/>
    <w:rsid w:val="BFD7715A"/>
    <w:rsid w:val="BFDD8F5A"/>
    <w:rsid w:val="BFDF380B"/>
    <w:rsid w:val="BFE1873B"/>
    <w:rsid w:val="BFEE3A4F"/>
    <w:rsid w:val="BFEECFE2"/>
    <w:rsid w:val="BFEFE9EE"/>
    <w:rsid w:val="BFF1A582"/>
    <w:rsid w:val="BFF2841E"/>
    <w:rsid w:val="BFF2A713"/>
    <w:rsid w:val="BFF3C7CB"/>
    <w:rsid w:val="BFF65ACD"/>
    <w:rsid w:val="BFF77784"/>
    <w:rsid w:val="BFF77DA3"/>
    <w:rsid w:val="BFF7933B"/>
    <w:rsid w:val="BFF7F0EF"/>
    <w:rsid w:val="BFFB1EBE"/>
    <w:rsid w:val="BFFB5701"/>
    <w:rsid w:val="BFFB8BDE"/>
    <w:rsid w:val="BFFBAA44"/>
    <w:rsid w:val="BFFBDE3E"/>
    <w:rsid w:val="BFFDFA39"/>
    <w:rsid w:val="BFFE5ADF"/>
    <w:rsid w:val="BFFE7388"/>
    <w:rsid w:val="BFFE769B"/>
    <w:rsid w:val="BFFF0C92"/>
    <w:rsid w:val="BFFF4625"/>
    <w:rsid w:val="BFFF7022"/>
    <w:rsid w:val="BFFF90F4"/>
    <w:rsid w:val="BFFF91DF"/>
    <w:rsid w:val="BFFFABA7"/>
    <w:rsid w:val="C1F7BB74"/>
    <w:rsid w:val="C2F647D3"/>
    <w:rsid w:val="C37B01A1"/>
    <w:rsid w:val="C3BE9583"/>
    <w:rsid w:val="C3BFE1C4"/>
    <w:rsid w:val="C3F48FE5"/>
    <w:rsid w:val="C3FFEDE0"/>
    <w:rsid w:val="C5ABAB55"/>
    <w:rsid w:val="C5FFFFC8"/>
    <w:rsid w:val="C77B5C5E"/>
    <w:rsid w:val="C79FC462"/>
    <w:rsid w:val="C7B7200A"/>
    <w:rsid w:val="C7E51C2F"/>
    <w:rsid w:val="C7ED6558"/>
    <w:rsid w:val="C7F7FDFF"/>
    <w:rsid w:val="C7FC1304"/>
    <w:rsid w:val="C7FD6027"/>
    <w:rsid w:val="C7FED873"/>
    <w:rsid w:val="C7FF3A34"/>
    <w:rsid w:val="C7FFAFAA"/>
    <w:rsid w:val="C87DCA21"/>
    <w:rsid w:val="C9266A2F"/>
    <w:rsid w:val="C9DEE24F"/>
    <w:rsid w:val="C9E91D1C"/>
    <w:rsid w:val="C9FFF966"/>
    <w:rsid w:val="CA5B5F9E"/>
    <w:rsid w:val="CA67B3F4"/>
    <w:rsid w:val="CAB84CFA"/>
    <w:rsid w:val="CADFB827"/>
    <w:rsid w:val="CB3BD91F"/>
    <w:rsid w:val="CB5D334F"/>
    <w:rsid w:val="CB9F37D0"/>
    <w:rsid w:val="CBA75614"/>
    <w:rsid w:val="CBBBDD6E"/>
    <w:rsid w:val="CBCCAA06"/>
    <w:rsid w:val="CBE327CD"/>
    <w:rsid w:val="CBE7745B"/>
    <w:rsid w:val="CBEC9B36"/>
    <w:rsid w:val="CBEDDAB4"/>
    <w:rsid w:val="CBFCA051"/>
    <w:rsid w:val="CBFEDDAC"/>
    <w:rsid w:val="CC7F5D21"/>
    <w:rsid w:val="CCB71F7C"/>
    <w:rsid w:val="CCDF4A95"/>
    <w:rsid w:val="CCED08C1"/>
    <w:rsid w:val="CD5F2B32"/>
    <w:rsid w:val="CDB38057"/>
    <w:rsid w:val="CDB79B83"/>
    <w:rsid w:val="CDCF3DE5"/>
    <w:rsid w:val="CDDF60EA"/>
    <w:rsid w:val="CDEF988D"/>
    <w:rsid w:val="CDF31B34"/>
    <w:rsid w:val="CE7EB0E4"/>
    <w:rsid w:val="CEAC6037"/>
    <w:rsid w:val="CEB7A984"/>
    <w:rsid w:val="CEDD9968"/>
    <w:rsid w:val="CEFFA236"/>
    <w:rsid w:val="CF3167A7"/>
    <w:rsid w:val="CF3F046F"/>
    <w:rsid w:val="CF4E6E47"/>
    <w:rsid w:val="CF73850B"/>
    <w:rsid w:val="CF79B6EF"/>
    <w:rsid w:val="CF7C24E2"/>
    <w:rsid w:val="CF7F5843"/>
    <w:rsid w:val="CF9F17E9"/>
    <w:rsid w:val="CFAF1916"/>
    <w:rsid w:val="CFB70919"/>
    <w:rsid w:val="CFBD3BB4"/>
    <w:rsid w:val="CFBDDAC9"/>
    <w:rsid w:val="CFDB9471"/>
    <w:rsid w:val="CFDDC8F0"/>
    <w:rsid w:val="CFDF8C9B"/>
    <w:rsid w:val="CFDFC6F7"/>
    <w:rsid w:val="CFEFB5A7"/>
    <w:rsid w:val="CFEFCE33"/>
    <w:rsid w:val="CFF74D73"/>
    <w:rsid w:val="CFF77C16"/>
    <w:rsid w:val="CFFA8C25"/>
    <w:rsid w:val="CFFB4D66"/>
    <w:rsid w:val="CFFB9719"/>
    <w:rsid w:val="CFFB9CF9"/>
    <w:rsid w:val="CFFF03CB"/>
    <w:rsid w:val="CFFF259D"/>
    <w:rsid w:val="CFFF69D8"/>
    <w:rsid w:val="CFFFB356"/>
    <w:rsid w:val="D0BF3250"/>
    <w:rsid w:val="D17F38FA"/>
    <w:rsid w:val="D1DE76C8"/>
    <w:rsid w:val="D1FF20D4"/>
    <w:rsid w:val="D23D9EC2"/>
    <w:rsid w:val="D262852A"/>
    <w:rsid w:val="D2F590A3"/>
    <w:rsid w:val="D33FBB38"/>
    <w:rsid w:val="D372BBA5"/>
    <w:rsid w:val="D3951E7E"/>
    <w:rsid w:val="D3ABA45B"/>
    <w:rsid w:val="D3D7BD17"/>
    <w:rsid w:val="D3DE1284"/>
    <w:rsid w:val="D3E641B8"/>
    <w:rsid w:val="D3F6E0CD"/>
    <w:rsid w:val="D3FC1652"/>
    <w:rsid w:val="D3FE3F62"/>
    <w:rsid w:val="D4E76FCD"/>
    <w:rsid w:val="D4ED894A"/>
    <w:rsid w:val="D55A037E"/>
    <w:rsid w:val="D55B9E47"/>
    <w:rsid w:val="D55DE9B6"/>
    <w:rsid w:val="D5B51589"/>
    <w:rsid w:val="D5B760CA"/>
    <w:rsid w:val="D5D7329C"/>
    <w:rsid w:val="D5D7E300"/>
    <w:rsid w:val="D5DF9E59"/>
    <w:rsid w:val="D5EF42C9"/>
    <w:rsid w:val="D5EF7F00"/>
    <w:rsid w:val="D5FBBD5A"/>
    <w:rsid w:val="D5FBD840"/>
    <w:rsid w:val="D6A62EBE"/>
    <w:rsid w:val="D6DFEF92"/>
    <w:rsid w:val="D6EE249F"/>
    <w:rsid w:val="D6EF7ED2"/>
    <w:rsid w:val="D6FF2158"/>
    <w:rsid w:val="D727F948"/>
    <w:rsid w:val="D73FD60D"/>
    <w:rsid w:val="D74CA1AF"/>
    <w:rsid w:val="D74DF7D0"/>
    <w:rsid w:val="D751BD09"/>
    <w:rsid w:val="D7550B0C"/>
    <w:rsid w:val="D75B0129"/>
    <w:rsid w:val="D77F62EE"/>
    <w:rsid w:val="D77FABBE"/>
    <w:rsid w:val="D79BB6DD"/>
    <w:rsid w:val="D7A2FCF7"/>
    <w:rsid w:val="D7B2428A"/>
    <w:rsid w:val="D7BEC048"/>
    <w:rsid w:val="D7CF1204"/>
    <w:rsid w:val="D7D5FBF2"/>
    <w:rsid w:val="D7D7915A"/>
    <w:rsid w:val="D7DE6744"/>
    <w:rsid w:val="D7DEE5D4"/>
    <w:rsid w:val="D7E6C6A8"/>
    <w:rsid w:val="D7E6D530"/>
    <w:rsid w:val="D7E6DE1D"/>
    <w:rsid w:val="D7EE881E"/>
    <w:rsid w:val="D7EF1A76"/>
    <w:rsid w:val="D7F200E2"/>
    <w:rsid w:val="D7F37F2C"/>
    <w:rsid w:val="D7F73571"/>
    <w:rsid w:val="D7F796F8"/>
    <w:rsid w:val="D7F93C37"/>
    <w:rsid w:val="D7FB85E9"/>
    <w:rsid w:val="D7FBBC18"/>
    <w:rsid w:val="D7FC6152"/>
    <w:rsid w:val="D7FD19FC"/>
    <w:rsid w:val="D7FF05CB"/>
    <w:rsid w:val="D7FF156F"/>
    <w:rsid w:val="D7FF3499"/>
    <w:rsid w:val="D7FFAF96"/>
    <w:rsid w:val="D877E732"/>
    <w:rsid w:val="D8F1C89E"/>
    <w:rsid w:val="D8FC1DC8"/>
    <w:rsid w:val="D953D99E"/>
    <w:rsid w:val="D959554B"/>
    <w:rsid w:val="D97FF531"/>
    <w:rsid w:val="D9BF5F1A"/>
    <w:rsid w:val="D9DF8BC3"/>
    <w:rsid w:val="D9F2BB02"/>
    <w:rsid w:val="D9FDE40D"/>
    <w:rsid w:val="D9FFF23A"/>
    <w:rsid w:val="DA3FB044"/>
    <w:rsid w:val="DABADAC2"/>
    <w:rsid w:val="DAD7F01C"/>
    <w:rsid w:val="DAE949A1"/>
    <w:rsid w:val="DAF66058"/>
    <w:rsid w:val="DAF7BBEC"/>
    <w:rsid w:val="DB5E7C96"/>
    <w:rsid w:val="DB5F6708"/>
    <w:rsid w:val="DB5F7F2E"/>
    <w:rsid w:val="DB693FD3"/>
    <w:rsid w:val="DB6C1A7C"/>
    <w:rsid w:val="DB71CBB8"/>
    <w:rsid w:val="DB7D6D50"/>
    <w:rsid w:val="DB7F2903"/>
    <w:rsid w:val="DB9E3AA6"/>
    <w:rsid w:val="DBB8C9A1"/>
    <w:rsid w:val="DBBB69A7"/>
    <w:rsid w:val="DBBD5317"/>
    <w:rsid w:val="DBBE95FE"/>
    <w:rsid w:val="DBBF06B3"/>
    <w:rsid w:val="DBBF6F7B"/>
    <w:rsid w:val="DBBFE80D"/>
    <w:rsid w:val="DBDB3E5B"/>
    <w:rsid w:val="DBE7F66E"/>
    <w:rsid w:val="DBEBE189"/>
    <w:rsid w:val="DBEBE316"/>
    <w:rsid w:val="DBF3C972"/>
    <w:rsid w:val="DBF71B86"/>
    <w:rsid w:val="DBF72275"/>
    <w:rsid w:val="DBFBDCCE"/>
    <w:rsid w:val="DBFDB8B4"/>
    <w:rsid w:val="DBFF4226"/>
    <w:rsid w:val="DBFF6D8D"/>
    <w:rsid w:val="DC3FC746"/>
    <w:rsid w:val="DC67BB04"/>
    <w:rsid w:val="DC6DF5F1"/>
    <w:rsid w:val="DC979937"/>
    <w:rsid w:val="DCDA802B"/>
    <w:rsid w:val="DCDFBED5"/>
    <w:rsid w:val="DCEFB11A"/>
    <w:rsid w:val="DCF945D9"/>
    <w:rsid w:val="DCFD8E49"/>
    <w:rsid w:val="DCFF3EBE"/>
    <w:rsid w:val="DD3FC6B9"/>
    <w:rsid w:val="DD570FDE"/>
    <w:rsid w:val="DD6FBD43"/>
    <w:rsid w:val="DD7C0B1B"/>
    <w:rsid w:val="DD9E119A"/>
    <w:rsid w:val="DD9E23E8"/>
    <w:rsid w:val="DDB3D0CF"/>
    <w:rsid w:val="DDBD15A3"/>
    <w:rsid w:val="DDBDC23B"/>
    <w:rsid w:val="DDBFD225"/>
    <w:rsid w:val="DDD742F2"/>
    <w:rsid w:val="DDE7C1E0"/>
    <w:rsid w:val="DDEB6824"/>
    <w:rsid w:val="DDEB9054"/>
    <w:rsid w:val="DDEFBDE4"/>
    <w:rsid w:val="DDF35AFF"/>
    <w:rsid w:val="DDF43CDF"/>
    <w:rsid w:val="DDF55E7B"/>
    <w:rsid w:val="DDF71596"/>
    <w:rsid w:val="DDF7DFDC"/>
    <w:rsid w:val="DDFA5F74"/>
    <w:rsid w:val="DDFBC76B"/>
    <w:rsid w:val="DDFE2674"/>
    <w:rsid w:val="DDFE6DC2"/>
    <w:rsid w:val="DDFFCCA4"/>
    <w:rsid w:val="DE1D9F33"/>
    <w:rsid w:val="DE1F09CC"/>
    <w:rsid w:val="DE3255E5"/>
    <w:rsid w:val="DE47A963"/>
    <w:rsid w:val="DE5D2CBA"/>
    <w:rsid w:val="DE6F0CEC"/>
    <w:rsid w:val="DE75E100"/>
    <w:rsid w:val="DE76B4B1"/>
    <w:rsid w:val="DE7D02A5"/>
    <w:rsid w:val="DEAA841F"/>
    <w:rsid w:val="DEBB21F0"/>
    <w:rsid w:val="DEBB94B1"/>
    <w:rsid w:val="DEBD1367"/>
    <w:rsid w:val="DEBFBB08"/>
    <w:rsid w:val="DEDFF16D"/>
    <w:rsid w:val="DEE3CBF9"/>
    <w:rsid w:val="DEE5F138"/>
    <w:rsid w:val="DEF448BF"/>
    <w:rsid w:val="DEF7F5F7"/>
    <w:rsid w:val="DEF8961F"/>
    <w:rsid w:val="DEF8F793"/>
    <w:rsid w:val="DEF910F2"/>
    <w:rsid w:val="DF5AF716"/>
    <w:rsid w:val="DF6B9136"/>
    <w:rsid w:val="DF7215F1"/>
    <w:rsid w:val="DF73E721"/>
    <w:rsid w:val="DF772A35"/>
    <w:rsid w:val="DF7D78A9"/>
    <w:rsid w:val="DF7E8DE4"/>
    <w:rsid w:val="DF7EDBF7"/>
    <w:rsid w:val="DF7F993E"/>
    <w:rsid w:val="DF7FAA2C"/>
    <w:rsid w:val="DF8B2616"/>
    <w:rsid w:val="DF939446"/>
    <w:rsid w:val="DF9FA62B"/>
    <w:rsid w:val="DFAB65A6"/>
    <w:rsid w:val="DFAD38BD"/>
    <w:rsid w:val="DFAD9114"/>
    <w:rsid w:val="DFAE02DB"/>
    <w:rsid w:val="DFAE64C4"/>
    <w:rsid w:val="DFB576DE"/>
    <w:rsid w:val="DFBB7298"/>
    <w:rsid w:val="DFBB8429"/>
    <w:rsid w:val="DFBC8C8F"/>
    <w:rsid w:val="DFBD38D3"/>
    <w:rsid w:val="DFBE5136"/>
    <w:rsid w:val="DFBEFE0F"/>
    <w:rsid w:val="DFBFC3E9"/>
    <w:rsid w:val="DFBFEE98"/>
    <w:rsid w:val="DFC37A7C"/>
    <w:rsid w:val="DFCB8F90"/>
    <w:rsid w:val="DFCF6B36"/>
    <w:rsid w:val="DFCF6BD5"/>
    <w:rsid w:val="DFD8E1B7"/>
    <w:rsid w:val="DFDE567C"/>
    <w:rsid w:val="DFDF24B3"/>
    <w:rsid w:val="DFDF3916"/>
    <w:rsid w:val="DFDFAA6C"/>
    <w:rsid w:val="DFE93DC9"/>
    <w:rsid w:val="DFEA0111"/>
    <w:rsid w:val="DFEF0969"/>
    <w:rsid w:val="DFEFDC01"/>
    <w:rsid w:val="DFF70D11"/>
    <w:rsid w:val="DFF7477F"/>
    <w:rsid w:val="DFF75A23"/>
    <w:rsid w:val="DFF76396"/>
    <w:rsid w:val="DFF788C2"/>
    <w:rsid w:val="DFFB242B"/>
    <w:rsid w:val="DFFB2509"/>
    <w:rsid w:val="DFFB2FDA"/>
    <w:rsid w:val="DFFBFAAD"/>
    <w:rsid w:val="DFFD16E5"/>
    <w:rsid w:val="DFFD4D0C"/>
    <w:rsid w:val="DFFD8650"/>
    <w:rsid w:val="DFFD9342"/>
    <w:rsid w:val="DFFDD88D"/>
    <w:rsid w:val="DFFE3B37"/>
    <w:rsid w:val="DFFE402E"/>
    <w:rsid w:val="DFFE97EA"/>
    <w:rsid w:val="DFFF4470"/>
    <w:rsid w:val="DFFF4915"/>
    <w:rsid w:val="DFFF5DD1"/>
    <w:rsid w:val="DFFF753D"/>
    <w:rsid w:val="DFFF803F"/>
    <w:rsid w:val="DFFF8A31"/>
    <w:rsid w:val="DFFFB0A3"/>
    <w:rsid w:val="DFFFB8CD"/>
    <w:rsid w:val="DFFFBD84"/>
    <w:rsid w:val="DFFFFD9F"/>
    <w:rsid w:val="E06C4DBE"/>
    <w:rsid w:val="E0CBD413"/>
    <w:rsid w:val="E17C309E"/>
    <w:rsid w:val="E2B9D4DD"/>
    <w:rsid w:val="E2EB1A2A"/>
    <w:rsid w:val="E2F7EF2D"/>
    <w:rsid w:val="E33FF9E2"/>
    <w:rsid w:val="E347D6FD"/>
    <w:rsid w:val="E36F70F0"/>
    <w:rsid w:val="E39DC314"/>
    <w:rsid w:val="E3DB3DC5"/>
    <w:rsid w:val="E3DD1AFC"/>
    <w:rsid w:val="E3DD2704"/>
    <w:rsid w:val="E3DEAEF7"/>
    <w:rsid w:val="E3EB35E5"/>
    <w:rsid w:val="E3F7B251"/>
    <w:rsid w:val="E3F98623"/>
    <w:rsid w:val="E3FD89EC"/>
    <w:rsid w:val="E3FFE9C9"/>
    <w:rsid w:val="E45A22B2"/>
    <w:rsid w:val="E4EDD1B0"/>
    <w:rsid w:val="E4FB7124"/>
    <w:rsid w:val="E4FD012A"/>
    <w:rsid w:val="E54F1BFE"/>
    <w:rsid w:val="E5577653"/>
    <w:rsid w:val="E57734BC"/>
    <w:rsid w:val="E57741B9"/>
    <w:rsid w:val="E57FFF29"/>
    <w:rsid w:val="E5B595E5"/>
    <w:rsid w:val="E5BD4F4B"/>
    <w:rsid w:val="E5F73237"/>
    <w:rsid w:val="E5FD451C"/>
    <w:rsid w:val="E5FED507"/>
    <w:rsid w:val="E6B9C8C2"/>
    <w:rsid w:val="E6BF8A3C"/>
    <w:rsid w:val="E6D576E1"/>
    <w:rsid w:val="E6EEACD8"/>
    <w:rsid w:val="E6F3211C"/>
    <w:rsid w:val="E6F8D02A"/>
    <w:rsid w:val="E6FD89B2"/>
    <w:rsid w:val="E71DE367"/>
    <w:rsid w:val="E76784D1"/>
    <w:rsid w:val="E76E9581"/>
    <w:rsid w:val="E77B6882"/>
    <w:rsid w:val="E77DFA5B"/>
    <w:rsid w:val="E7AACBC6"/>
    <w:rsid w:val="E7AF2D67"/>
    <w:rsid w:val="E7AF5C12"/>
    <w:rsid w:val="E7B59E3F"/>
    <w:rsid w:val="E7BF3253"/>
    <w:rsid w:val="E7C337AB"/>
    <w:rsid w:val="E7D7C119"/>
    <w:rsid w:val="E7DF7CD0"/>
    <w:rsid w:val="E7DFB0AA"/>
    <w:rsid w:val="E7DFEA91"/>
    <w:rsid w:val="E7E7BFC1"/>
    <w:rsid w:val="E7EDA5D4"/>
    <w:rsid w:val="E7EF0FFE"/>
    <w:rsid w:val="E7F43705"/>
    <w:rsid w:val="E7F70C7F"/>
    <w:rsid w:val="E7F77F97"/>
    <w:rsid w:val="E7F7B771"/>
    <w:rsid w:val="E7F7F05E"/>
    <w:rsid w:val="E7F854ED"/>
    <w:rsid w:val="E7FB1966"/>
    <w:rsid w:val="E7FD21BC"/>
    <w:rsid w:val="E7FEBCFC"/>
    <w:rsid w:val="E7FF0424"/>
    <w:rsid w:val="E7FF6383"/>
    <w:rsid w:val="E7FF743A"/>
    <w:rsid w:val="E7FFB63F"/>
    <w:rsid w:val="E8FB1F23"/>
    <w:rsid w:val="E94DB64B"/>
    <w:rsid w:val="E99E7EC4"/>
    <w:rsid w:val="E9A6DDBD"/>
    <w:rsid w:val="E9BFE445"/>
    <w:rsid w:val="E9CDFD76"/>
    <w:rsid w:val="E9DF4D42"/>
    <w:rsid w:val="E9EEA22F"/>
    <w:rsid w:val="EA2E3363"/>
    <w:rsid w:val="EA5F50C9"/>
    <w:rsid w:val="EA6DCBE3"/>
    <w:rsid w:val="EAC3A65A"/>
    <w:rsid w:val="EADF5C39"/>
    <w:rsid w:val="EB3E43FE"/>
    <w:rsid w:val="EB3F1CA3"/>
    <w:rsid w:val="EB5ADC0F"/>
    <w:rsid w:val="EB5F2CD6"/>
    <w:rsid w:val="EB7443CE"/>
    <w:rsid w:val="EB7700FB"/>
    <w:rsid w:val="EB77AE67"/>
    <w:rsid w:val="EB7D6992"/>
    <w:rsid w:val="EB7FDF5C"/>
    <w:rsid w:val="EB99CA6D"/>
    <w:rsid w:val="EB9FAEFA"/>
    <w:rsid w:val="EBB2AA53"/>
    <w:rsid w:val="EBB76191"/>
    <w:rsid w:val="EBBF6B92"/>
    <w:rsid w:val="EBBFBD70"/>
    <w:rsid w:val="EBCF17CF"/>
    <w:rsid w:val="EBE5E6D7"/>
    <w:rsid w:val="EBE761D8"/>
    <w:rsid w:val="EBEF59E9"/>
    <w:rsid w:val="EBFA8263"/>
    <w:rsid w:val="EBFD29C0"/>
    <w:rsid w:val="EBFD2F63"/>
    <w:rsid w:val="EBFED73F"/>
    <w:rsid w:val="EBFF1513"/>
    <w:rsid w:val="EBFF7461"/>
    <w:rsid w:val="ECBABFA8"/>
    <w:rsid w:val="ECCBEE7B"/>
    <w:rsid w:val="ECFF8DE1"/>
    <w:rsid w:val="ECFFE810"/>
    <w:rsid w:val="ED1EB8B7"/>
    <w:rsid w:val="ED2F5BB2"/>
    <w:rsid w:val="ED6F7ABA"/>
    <w:rsid w:val="ED7D1CE5"/>
    <w:rsid w:val="ED7EB514"/>
    <w:rsid w:val="ED859B73"/>
    <w:rsid w:val="ED9B0E39"/>
    <w:rsid w:val="ED9B78FC"/>
    <w:rsid w:val="EDA406C9"/>
    <w:rsid w:val="EDBEA1AA"/>
    <w:rsid w:val="EDBF651D"/>
    <w:rsid w:val="EDD8D7A4"/>
    <w:rsid w:val="EDD8D806"/>
    <w:rsid w:val="EDDB5C9C"/>
    <w:rsid w:val="EDDB9620"/>
    <w:rsid w:val="EDDD6C9B"/>
    <w:rsid w:val="EDE37871"/>
    <w:rsid w:val="EDEB5A09"/>
    <w:rsid w:val="EDEE4323"/>
    <w:rsid w:val="EDEF21B2"/>
    <w:rsid w:val="EDF309DF"/>
    <w:rsid w:val="EDF724FD"/>
    <w:rsid w:val="EDFF5C55"/>
    <w:rsid w:val="EDFF938B"/>
    <w:rsid w:val="EDFF9AB2"/>
    <w:rsid w:val="EE1F381B"/>
    <w:rsid w:val="EE4E530E"/>
    <w:rsid w:val="EE7B696B"/>
    <w:rsid w:val="EEBF1A22"/>
    <w:rsid w:val="EEC47278"/>
    <w:rsid w:val="EECDD9A2"/>
    <w:rsid w:val="EEDFAB0E"/>
    <w:rsid w:val="EEDFBBA3"/>
    <w:rsid w:val="EEDFE87D"/>
    <w:rsid w:val="EEE7E500"/>
    <w:rsid w:val="EEE7F1A4"/>
    <w:rsid w:val="EEE81A69"/>
    <w:rsid w:val="EEEDBECD"/>
    <w:rsid w:val="EEEF6249"/>
    <w:rsid w:val="EEF3306F"/>
    <w:rsid w:val="EEF4AED2"/>
    <w:rsid w:val="EEF5E5A3"/>
    <w:rsid w:val="EEF7460D"/>
    <w:rsid w:val="EEFAF67B"/>
    <w:rsid w:val="EEFBD615"/>
    <w:rsid w:val="EEFBE2D2"/>
    <w:rsid w:val="EEFD8D76"/>
    <w:rsid w:val="EEFDE266"/>
    <w:rsid w:val="EEFE15B3"/>
    <w:rsid w:val="EEFF279A"/>
    <w:rsid w:val="EEFF30F6"/>
    <w:rsid w:val="EEFFB15A"/>
    <w:rsid w:val="EEFFDC89"/>
    <w:rsid w:val="EF1BDEC2"/>
    <w:rsid w:val="EF1BE9E5"/>
    <w:rsid w:val="EF1F2505"/>
    <w:rsid w:val="EF251580"/>
    <w:rsid w:val="EF2CA9F2"/>
    <w:rsid w:val="EF2FB2FB"/>
    <w:rsid w:val="EF3B40A4"/>
    <w:rsid w:val="EF3F5EE5"/>
    <w:rsid w:val="EF3FE62F"/>
    <w:rsid w:val="EF4BD61F"/>
    <w:rsid w:val="EF4FBF62"/>
    <w:rsid w:val="EF5B4CBA"/>
    <w:rsid w:val="EF5BC123"/>
    <w:rsid w:val="EF6F4217"/>
    <w:rsid w:val="EF714DA3"/>
    <w:rsid w:val="EF73C7EC"/>
    <w:rsid w:val="EF7BDB24"/>
    <w:rsid w:val="EF7C350B"/>
    <w:rsid w:val="EF7ECD9B"/>
    <w:rsid w:val="EF7EE65E"/>
    <w:rsid w:val="EF7F40F4"/>
    <w:rsid w:val="EF8B2ABF"/>
    <w:rsid w:val="EF9D78B8"/>
    <w:rsid w:val="EF9F05C8"/>
    <w:rsid w:val="EF9F6515"/>
    <w:rsid w:val="EFA97E39"/>
    <w:rsid w:val="EFAB08AE"/>
    <w:rsid w:val="EFADAEB2"/>
    <w:rsid w:val="EFAFBC7E"/>
    <w:rsid w:val="EFAFBD4F"/>
    <w:rsid w:val="EFB70FE7"/>
    <w:rsid w:val="EFBC3F87"/>
    <w:rsid w:val="EFBD4AE6"/>
    <w:rsid w:val="EFBD58B8"/>
    <w:rsid w:val="EFBDEDBA"/>
    <w:rsid w:val="EFBE3D0A"/>
    <w:rsid w:val="EFBF0C7C"/>
    <w:rsid w:val="EFBF334F"/>
    <w:rsid w:val="EFBFE65E"/>
    <w:rsid w:val="EFBFF32F"/>
    <w:rsid w:val="EFC42D90"/>
    <w:rsid w:val="EFC6753D"/>
    <w:rsid w:val="EFC6BA1B"/>
    <w:rsid w:val="EFCEEF25"/>
    <w:rsid w:val="EFCFA81F"/>
    <w:rsid w:val="EFDAD583"/>
    <w:rsid w:val="EFDB2B33"/>
    <w:rsid w:val="EFDDAE8C"/>
    <w:rsid w:val="EFDE4BBA"/>
    <w:rsid w:val="EFEAB65F"/>
    <w:rsid w:val="EFEDD3EE"/>
    <w:rsid w:val="EFEE2394"/>
    <w:rsid w:val="EFEEB740"/>
    <w:rsid w:val="EFEFE1EE"/>
    <w:rsid w:val="EFF315BB"/>
    <w:rsid w:val="EFF50E95"/>
    <w:rsid w:val="EFF5898F"/>
    <w:rsid w:val="EFF6E378"/>
    <w:rsid w:val="EFF73C69"/>
    <w:rsid w:val="EFF76E57"/>
    <w:rsid w:val="EFF7BAEA"/>
    <w:rsid w:val="EFFBB1F9"/>
    <w:rsid w:val="EFFE06DF"/>
    <w:rsid w:val="EFFE580F"/>
    <w:rsid w:val="EFFE8B98"/>
    <w:rsid w:val="EFFEABE2"/>
    <w:rsid w:val="EFFECF74"/>
    <w:rsid w:val="EFFF02E3"/>
    <w:rsid w:val="EFFF0923"/>
    <w:rsid w:val="EFFF228C"/>
    <w:rsid w:val="EFFF2558"/>
    <w:rsid w:val="EFFF2586"/>
    <w:rsid w:val="EFFF287E"/>
    <w:rsid w:val="EFFF4B6C"/>
    <w:rsid w:val="EFFF86A3"/>
    <w:rsid w:val="EFFFA12C"/>
    <w:rsid w:val="EFFFC169"/>
    <w:rsid w:val="EFFFF3FD"/>
    <w:rsid w:val="F04F84F6"/>
    <w:rsid w:val="F05F2AF2"/>
    <w:rsid w:val="F07FA9FA"/>
    <w:rsid w:val="F12525D6"/>
    <w:rsid w:val="F1B618AE"/>
    <w:rsid w:val="F1DB9F19"/>
    <w:rsid w:val="F1DCAB4A"/>
    <w:rsid w:val="F1ED730A"/>
    <w:rsid w:val="F1F71705"/>
    <w:rsid w:val="F1FC13A0"/>
    <w:rsid w:val="F1FC6D2B"/>
    <w:rsid w:val="F24FF8DC"/>
    <w:rsid w:val="F267DF36"/>
    <w:rsid w:val="F27FC45C"/>
    <w:rsid w:val="F27FE60B"/>
    <w:rsid w:val="F2A5253B"/>
    <w:rsid w:val="F2B80471"/>
    <w:rsid w:val="F2BFABCC"/>
    <w:rsid w:val="F2D24334"/>
    <w:rsid w:val="F2D52666"/>
    <w:rsid w:val="F2EF6445"/>
    <w:rsid w:val="F31E3163"/>
    <w:rsid w:val="F31F535A"/>
    <w:rsid w:val="F35DD401"/>
    <w:rsid w:val="F36E3495"/>
    <w:rsid w:val="F37FC462"/>
    <w:rsid w:val="F39DB1BD"/>
    <w:rsid w:val="F3AF9FEC"/>
    <w:rsid w:val="F3B09826"/>
    <w:rsid w:val="F3B7E3E5"/>
    <w:rsid w:val="F3BDA0F3"/>
    <w:rsid w:val="F3D7ABB0"/>
    <w:rsid w:val="F3DA4F95"/>
    <w:rsid w:val="F3DEEBBE"/>
    <w:rsid w:val="F3DF12DD"/>
    <w:rsid w:val="F3E5A2E1"/>
    <w:rsid w:val="F3E74619"/>
    <w:rsid w:val="F3E75F5C"/>
    <w:rsid w:val="F3ED62EF"/>
    <w:rsid w:val="F3EE7952"/>
    <w:rsid w:val="F3EF4281"/>
    <w:rsid w:val="F3EF69A4"/>
    <w:rsid w:val="F3EFCA43"/>
    <w:rsid w:val="F3F79336"/>
    <w:rsid w:val="F3F7CD6D"/>
    <w:rsid w:val="F3F92541"/>
    <w:rsid w:val="F3FB7E21"/>
    <w:rsid w:val="F3FC9F7F"/>
    <w:rsid w:val="F3FF33D5"/>
    <w:rsid w:val="F3FFDA01"/>
    <w:rsid w:val="F46F127E"/>
    <w:rsid w:val="F4B33B7C"/>
    <w:rsid w:val="F4B5E6EC"/>
    <w:rsid w:val="F4DE64B1"/>
    <w:rsid w:val="F4DFFEA5"/>
    <w:rsid w:val="F4E383B6"/>
    <w:rsid w:val="F4E9077E"/>
    <w:rsid w:val="F4F7CCF9"/>
    <w:rsid w:val="F4FE7B5B"/>
    <w:rsid w:val="F53DBB1A"/>
    <w:rsid w:val="F54EA798"/>
    <w:rsid w:val="F5578175"/>
    <w:rsid w:val="F56FA518"/>
    <w:rsid w:val="F5794AC6"/>
    <w:rsid w:val="F57979DB"/>
    <w:rsid w:val="F57F200E"/>
    <w:rsid w:val="F58EEFB9"/>
    <w:rsid w:val="F59B8E39"/>
    <w:rsid w:val="F5A078CC"/>
    <w:rsid w:val="F5AE0AA3"/>
    <w:rsid w:val="F5AF022A"/>
    <w:rsid w:val="F5BE338B"/>
    <w:rsid w:val="F5D55815"/>
    <w:rsid w:val="F5D7080B"/>
    <w:rsid w:val="F5DF415A"/>
    <w:rsid w:val="F5E34BCA"/>
    <w:rsid w:val="F5E71381"/>
    <w:rsid w:val="F5ECABF1"/>
    <w:rsid w:val="F5EFD37E"/>
    <w:rsid w:val="F5F79A76"/>
    <w:rsid w:val="F5F8A690"/>
    <w:rsid w:val="F5FA6E4A"/>
    <w:rsid w:val="F5FB5AD0"/>
    <w:rsid w:val="F5FD8582"/>
    <w:rsid w:val="F5FDF532"/>
    <w:rsid w:val="F5FF247D"/>
    <w:rsid w:val="F63B8B81"/>
    <w:rsid w:val="F646787F"/>
    <w:rsid w:val="F64F4353"/>
    <w:rsid w:val="F6574B81"/>
    <w:rsid w:val="F6578E61"/>
    <w:rsid w:val="F65F688F"/>
    <w:rsid w:val="F66733AE"/>
    <w:rsid w:val="F66BC33B"/>
    <w:rsid w:val="F675FC69"/>
    <w:rsid w:val="F677EACC"/>
    <w:rsid w:val="F67B44F2"/>
    <w:rsid w:val="F67D9387"/>
    <w:rsid w:val="F6838DF7"/>
    <w:rsid w:val="F6B65A18"/>
    <w:rsid w:val="F6BBCEDE"/>
    <w:rsid w:val="F6BCD153"/>
    <w:rsid w:val="F6BD84D1"/>
    <w:rsid w:val="F6C0C2D7"/>
    <w:rsid w:val="F6DB0BA3"/>
    <w:rsid w:val="F6DE2FBB"/>
    <w:rsid w:val="F6DF21AA"/>
    <w:rsid w:val="F6E5B164"/>
    <w:rsid w:val="F6E5F18C"/>
    <w:rsid w:val="F6EDB548"/>
    <w:rsid w:val="F6EFEE9A"/>
    <w:rsid w:val="F6EFFC08"/>
    <w:rsid w:val="F6F625E2"/>
    <w:rsid w:val="F6F64DDE"/>
    <w:rsid w:val="F6F7B1F3"/>
    <w:rsid w:val="F6FA3FF0"/>
    <w:rsid w:val="F6FA9913"/>
    <w:rsid w:val="F6FE2BDB"/>
    <w:rsid w:val="F6FF4576"/>
    <w:rsid w:val="F6FF4E99"/>
    <w:rsid w:val="F6FFCDC1"/>
    <w:rsid w:val="F70F5931"/>
    <w:rsid w:val="F72B4CD8"/>
    <w:rsid w:val="F72C20E3"/>
    <w:rsid w:val="F73747A5"/>
    <w:rsid w:val="F73A51B2"/>
    <w:rsid w:val="F73BA1E9"/>
    <w:rsid w:val="F73DD5C4"/>
    <w:rsid w:val="F73F9927"/>
    <w:rsid w:val="F7582172"/>
    <w:rsid w:val="F76DD159"/>
    <w:rsid w:val="F76F52AD"/>
    <w:rsid w:val="F76FA891"/>
    <w:rsid w:val="F7719D55"/>
    <w:rsid w:val="F7758B44"/>
    <w:rsid w:val="F77742CB"/>
    <w:rsid w:val="F777649C"/>
    <w:rsid w:val="F777FD91"/>
    <w:rsid w:val="F778B3A8"/>
    <w:rsid w:val="F77A736A"/>
    <w:rsid w:val="F77A7A7C"/>
    <w:rsid w:val="F77B913F"/>
    <w:rsid w:val="F77C455C"/>
    <w:rsid w:val="F77F3587"/>
    <w:rsid w:val="F77F6B1F"/>
    <w:rsid w:val="F77FB5B1"/>
    <w:rsid w:val="F78D4638"/>
    <w:rsid w:val="F79DAD2A"/>
    <w:rsid w:val="F79F873C"/>
    <w:rsid w:val="F7A61765"/>
    <w:rsid w:val="F7AE6C15"/>
    <w:rsid w:val="F7AFB135"/>
    <w:rsid w:val="F7AFEAC7"/>
    <w:rsid w:val="F7B39115"/>
    <w:rsid w:val="F7B71F89"/>
    <w:rsid w:val="F7B7F4ED"/>
    <w:rsid w:val="F7BABDC5"/>
    <w:rsid w:val="F7BBF03E"/>
    <w:rsid w:val="F7BDC3CE"/>
    <w:rsid w:val="F7BE5C89"/>
    <w:rsid w:val="F7BF6DF7"/>
    <w:rsid w:val="F7BF8091"/>
    <w:rsid w:val="F7BFBD11"/>
    <w:rsid w:val="F7C73A02"/>
    <w:rsid w:val="F7CF0ED0"/>
    <w:rsid w:val="F7CF199F"/>
    <w:rsid w:val="F7D750C1"/>
    <w:rsid w:val="F7D9A911"/>
    <w:rsid w:val="F7DA32B1"/>
    <w:rsid w:val="F7DBB49E"/>
    <w:rsid w:val="F7DBD433"/>
    <w:rsid w:val="F7DBF35C"/>
    <w:rsid w:val="F7DDFEC5"/>
    <w:rsid w:val="F7DF4738"/>
    <w:rsid w:val="F7E69A23"/>
    <w:rsid w:val="F7E7119D"/>
    <w:rsid w:val="F7E896C9"/>
    <w:rsid w:val="F7EA6916"/>
    <w:rsid w:val="F7EA6B58"/>
    <w:rsid w:val="F7EE6B4D"/>
    <w:rsid w:val="F7EF8FA9"/>
    <w:rsid w:val="F7EFAC20"/>
    <w:rsid w:val="F7F53728"/>
    <w:rsid w:val="F7F7F636"/>
    <w:rsid w:val="F7F8394E"/>
    <w:rsid w:val="F7F999D1"/>
    <w:rsid w:val="F7F9BA5E"/>
    <w:rsid w:val="F7FB350D"/>
    <w:rsid w:val="F7FB679B"/>
    <w:rsid w:val="F7FB6F96"/>
    <w:rsid w:val="F7FBAFE0"/>
    <w:rsid w:val="F7FBB9F9"/>
    <w:rsid w:val="F7FCBDB4"/>
    <w:rsid w:val="F7FE3154"/>
    <w:rsid w:val="F7FE78A6"/>
    <w:rsid w:val="F7FE8F82"/>
    <w:rsid w:val="F7FEE2C3"/>
    <w:rsid w:val="F7FEE304"/>
    <w:rsid w:val="F7FEE807"/>
    <w:rsid w:val="F7FF065E"/>
    <w:rsid w:val="F7FF515B"/>
    <w:rsid w:val="F7FF5327"/>
    <w:rsid w:val="F7FF645B"/>
    <w:rsid w:val="F7FFAAA3"/>
    <w:rsid w:val="F7FFE091"/>
    <w:rsid w:val="F85E51EA"/>
    <w:rsid w:val="F8CB8E50"/>
    <w:rsid w:val="F8EF3C14"/>
    <w:rsid w:val="F8FD73A3"/>
    <w:rsid w:val="F90F631A"/>
    <w:rsid w:val="F92D6CE0"/>
    <w:rsid w:val="F93C9058"/>
    <w:rsid w:val="F94FA027"/>
    <w:rsid w:val="F94FEB5A"/>
    <w:rsid w:val="F957B1BA"/>
    <w:rsid w:val="F95DAB65"/>
    <w:rsid w:val="F95E8881"/>
    <w:rsid w:val="F97EA26B"/>
    <w:rsid w:val="F98B18AF"/>
    <w:rsid w:val="F9ABADA8"/>
    <w:rsid w:val="F9AFD258"/>
    <w:rsid w:val="F9B39FDD"/>
    <w:rsid w:val="F9BF323B"/>
    <w:rsid w:val="F9C3790D"/>
    <w:rsid w:val="F9CFABAD"/>
    <w:rsid w:val="F9E7B6D1"/>
    <w:rsid w:val="F9EB9083"/>
    <w:rsid w:val="F9EFE9EF"/>
    <w:rsid w:val="F9F732F2"/>
    <w:rsid w:val="F9F7C804"/>
    <w:rsid w:val="F9FA4622"/>
    <w:rsid w:val="F9FCEF31"/>
    <w:rsid w:val="F9FD4652"/>
    <w:rsid w:val="F9FDF9AF"/>
    <w:rsid w:val="F9FE5902"/>
    <w:rsid w:val="F9FED6E4"/>
    <w:rsid w:val="F9FF2BDA"/>
    <w:rsid w:val="F9FF74B6"/>
    <w:rsid w:val="FA3FCC1E"/>
    <w:rsid w:val="FA5BB603"/>
    <w:rsid w:val="FA5E6ECF"/>
    <w:rsid w:val="FA6F56A7"/>
    <w:rsid w:val="FA76DB9E"/>
    <w:rsid w:val="FA79C589"/>
    <w:rsid w:val="FA7DA658"/>
    <w:rsid w:val="FA8FBD37"/>
    <w:rsid w:val="FA97A2C9"/>
    <w:rsid w:val="FA9B7257"/>
    <w:rsid w:val="FAA681CC"/>
    <w:rsid w:val="FAA8212C"/>
    <w:rsid w:val="FABB8676"/>
    <w:rsid w:val="FABF06B4"/>
    <w:rsid w:val="FADD36DC"/>
    <w:rsid w:val="FADD3D55"/>
    <w:rsid w:val="FADFF1E0"/>
    <w:rsid w:val="FAE5A75F"/>
    <w:rsid w:val="FAF3417F"/>
    <w:rsid w:val="FAF55CF4"/>
    <w:rsid w:val="FAF576BF"/>
    <w:rsid w:val="FAF75A3D"/>
    <w:rsid w:val="FAF9F180"/>
    <w:rsid w:val="FAFD1DED"/>
    <w:rsid w:val="FAFDEFB9"/>
    <w:rsid w:val="FAFFDBBD"/>
    <w:rsid w:val="FAFFF62A"/>
    <w:rsid w:val="FB078856"/>
    <w:rsid w:val="FB27C380"/>
    <w:rsid w:val="FB2D47A3"/>
    <w:rsid w:val="FB2FA062"/>
    <w:rsid w:val="FB3B1BD6"/>
    <w:rsid w:val="FB46CBCF"/>
    <w:rsid w:val="FB4B577B"/>
    <w:rsid w:val="FB4F6274"/>
    <w:rsid w:val="FB59FF6C"/>
    <w:rsid w:val="FB5F013B"/>
    <w:rsid w:val="FB6572A1"/>
    <w:rsid w:val="FB6F384F"/>
    <w:rsid w:val="FB6F5C68"/>
    <w:rsid w:val="FB6FEB61"/>
    <w:rsid w:val="FB7D97E5"/>
    <w:rsid w:val="FB7E0722"/>
    <w:rsid w:val="FB7FBB40"/>
    <w:rsid w:val="FB7FDFBB"/>
    <w:rsid w:val="FB95CC2A"/>
    <w:rsid w:val="FB9D5AE3"/>
    <w:rsid w:val="FB9F4F6A"/>
    <w:rsid w:val="FBA26FC7"/>
    <w:rsid w:val="FBAFC1ED"/>
    <w:rsid w:val="FBB112B5"/>
    <w:rsid w:val="FBB3D6E9"/>
    <w:rsid w:val="FBB69587"/>
    <w:rsid w:val="FBBA9CCC"/>
    <w:rsid w:val="FBBADEC4"/>
    <w:rsid w:val="FBBB5342"/>
    <w:rsid w:val="FBBC7F05"/>
    <w:rsid w:val="FBBE96FE"/>
    <w:rsid w:val="FBBF431F"/>
    <w:rsid w:val="FBBF5C1F"/>
    <w:rsid w:val="FBBFC6C6"/>
    <w:rsid w:val="FBCFE66F"/>
    <w:rsid w:val="FBCFFB04"/>
    <w:rsid w:val="FBD5C7BF"/>
    <w:rsid w:val="FBD6044E"/>
    <w:rsid w:val="FBD6CD44"/>
    <w:rsid w:val="FBD72AEF"/>
    <w:rsid w:val="FBDAB4CB"/>
    <w:rsid w:val="FBDEA97B"/>
    <w:rsid w:val="FBDF5EE0"/>
    <w:rsid w:val="FBDF6EAB"/>
    <w:rsid w:val="FBDFC8BC"/>
    <w:rsid w:val="FBDFE394"/>
    <w:rsid w:val="FBE3295F"/>
    <w:rsid w:val="FBE42A75"/>
    <w:rsid w:val="FBE68D74"/>
    <w:rsid w:val="FBE74A05"/>
    <w:rsid w:val="FBE7BD53"/>
    <w:rsid w:val="FBEB7A6D"/>
    <w:rsid w:val="FBED4CF7"/>
    <w:rsid w:val="FBED707E"/>
    <w:rsid w:val="FBEE18A8"/>
    <w:rsid w:val="FBEE5188"/>
    <w:rsid w:val="FBEF7689"/>
    <w:rsid w:val="FBEFB1D4"/>
    <w:rsid w:val="FBEFE865"/>
    <w:rsid w:val="FBEFE8A5"/>
    <w:rsid w:val="FBF3B0B5"/>
    <w:rsid w:val="FBF57886"/>
    <w:rsid w:val="FBF61223"/>
    <w:rsid w:val="FBF762B5"/>
    <w:rsid w:val="FBF79FE6"/>
    <w:rsid w:val="FBF7DD77"/>
    <w:rsid w:val="FBF7EC01"/>
    <w:rsid w:val="FBF8583F"/>
    <w:rsid w:val="FBF8A2FF"/>
    <w:rsid w:val="FBF93452"/>
    <w:rsid w:val="FBFAA7A0"/>
    <w:rsid w:val="FBFB0DB3"/>
    <w:rsid w:val="FBFBA622"/>
    <w:rsid w:val="FBFBD7D0"/>
    <w:rsid w:val="FBFD7232"/>
    <w:rsid w:val="FBFDBD5C"/>
    <w:rsid w:val="FBFDE4F2"/>
    <w:rsid w:val="FBFE042B"/>
    <w:rsid w:val="FBFE1BF9"/>
    <w:rsid w:val="FBFF1360"/>
    <w:rsid w:val="FBFF235E"/>
    <w:rsid w:val="FBFF42BC"/>
    <w:rsid w:val="FBFF61B2"/>
    <w:rsid w:val="FBFF679D"/>
    <w:rsid w:val="FBFFA21D"/>
    <w:rsid w:val="FBFFB62C"/>
    <w:rsid w:val="FBFFB8D5"/>
    <w:rsid w:val="FC0F8D0F"/>
    <w:rsid w:val="FC77F626"/>
    <w:rsid w:val="FC7B5DC6"/>
    <w:rsid w:val="FC8F9BE9"/>
    <w:rsid w:val="FC9C7C1F"/>
    <w:rsid w:val="FC9FB55E"/>
    <w:rsid w:val="FCBF4308"/>
    <w:rsid w:val="FCBF4B74"/>
    <w:rsid w:val="FCBF86D8"/>
    <w:rsid w:val="FCCBB2D4"/>
    <w:rsid w:val="FCD769CF"/>
    <w:rsid w:val="FCDF3D11"/>
    <w:rsid w:val="FCF77DE0"/>
    <w:rsid w:val="FCFB76F7"/>
    <w:rsid w:val="FCFC2544"/>
    <w:rsid w:val="FCFF5740"/>
    <w:rsid w:val="FCFF6127"/>
    <w:rsid w:val="FCFFE579"/>
    <w:rsid w:val="FD27E63A"/>
    <w:rsid w:val="FD2FA2F1"/>
    <w:rsid w:val="FD37EEB1"/>
    <w:rsid w:val="FD3F9D61"/>
    <w:rsid w:val="FD3FB211"/>
    <w:rsid w:val="FD49F110"/>
    <w:rsid w:val="FD572735"/>
    <w:rsid w:val="FD5F54E1"/>
    <w:rsid w:val="FD6F04D5"/>
    <w:rsid w:val="FD6F18B2"/>
    <w:rsid w:val="FD774CF2"/>
    <w:rsid w:val="FD77EDF9"/>
    <w:rsid w:val="FD7B0081"/>
    <w:rsid w:val="FD7B98A7"/>
    <w:rsid w:val="FD7C1829"/>
    <w:rsid w:val="FD7D63F2"/>
    <w:rsid w:val="FD7DC25E"/>
    <w:rsid w:val="FD7EBD5F"/>
    <w:rsid w:val="FD7EED09"/>
    <w:rsid w:val="FD7F4C13"/>
    <w:rsid w:val="FD7F7264"/>
    <w:rsid w:val="FD992115"/>
    <w:rsid w:val="FD9D01F6"/>
    <w:rsid w:val="FD9F67C0"/>
    <w:rsid w:val="FD9F6801"/>
    <w:rsid w:val="FDAD6AE6"/>
    <w:rsid w:val="FDB2E74F"/>
    <w:rsid w:val="FDB34853"/>
    <w:rsid w:val="FDB67828"/>
    <w:rsid w:val="FDB6F30A"/>
    <w:rsid w:val="FDB7FF56"/>
    <w:rsid w:val="FDBA4CA6"/>
    <w:rsid w:val="FDBBB04B"/>
    <w:rsid w:val="FDBD7EE8"/>
    <w:rsid w:val="FDBEC688"/>
    <w:rsid w:val="FDBF027C"/>
    <w:rsid w:val="FDBF9FB1"/>
    <w:rsid w:val="FDBFBA1B"/>
    <w:rsid w:val="FDBFF0E5"/>
    <w:rsid w:val="FDCD50F1"/>
    <w:rsid w:val="FDCFA369"/>
    <w:rsid w:val="FDD772D5"/>
    <w:rsid w:val="FDDA9B94"/>
    <w:rsid w:val="FDDBAE70"/>
    <w:rsid w:val="FDDC609D"/>
    <w:rsid w:val="FDDE990A"/>
    <w:rsid w:val="FDE42E56"/>
    <w:rsid w:val="FDE795EA"/>
    <w:rsid w:val="FDE7F939"/>
    <w:rsid w:val="FDE94E1F"/>
    <w:rsid w:val="FDEED456"/>
    <w:rsid w:val="FDEF27A6"/>
    <w:rsid w:val="FDEF3A78"/>
    <w:rsid w:val="FDEFE2CF"/>
    <w:rsid w:val="FDF2918B"/>
    <w:rsid w:val="FDF6779B"/>
    <w:rsid w:val="FDF6803F"/>
    <w:rsid w:val="FDF6FD3A"/>
    <w:rsid w:val="FDF72239"/>
    <w:rsid w:val="FDF7A635"/>
    <w:rsid w:val="FDFA00B3"/>
    <w:rsid w:val="FDFBC1A4"/>
    <w:rsid w:val="FDFD9ED4"/>
    <w:rsid w:val="FDFDBFDF"/>
    <w:rsid w:val="FDFE6886"/>
    <w:rsid w:val="FDFEE5BB"/>
    <w:rsid w:val="FDFF3850"/>
    <w:rsid w:val="FDFF446E"/>
    <w:rsid w:val="FDFF99EE"/>
    <w:rsid w:val="FDFFA14A"/>
    <w:rsid w:val="FDFFBCBC"/>
    <w:rsid w:val="FDFFEEC4"/>
    <w:rsid w:val="FDFFF95B"/>
    <w:rsid w:val="FE1FF2FE"/>
    <w:rsid w:val="FE348D7E"/>
    <w:rsid w:val="FE3BFCE9"/>
    <w:rsid w:val="FE3D1E61"/>
    <w:rsid w:val="FE3D4267"/>
    <w:rsid w:val="FE3D7642"/>
    <w:rsid w:val="FE4FBE11"/>
    <w:rsid w:val="FE5FD991"/>
    <w:rsid w:val="FE67D777"/>
    <w:rsid w:val="FE69DDD6"/>
    <w:rsid w:val="FE6A6117"/>
    <w:rsid w:val="FE6C0A37"/>
    <w:rsid w:val="FE6DFE76"/>
    <w:rsid w:val="FE6F25D7"/>
    <w:rsid w:val="FE79521B"/>
    <w:rsid w:val="FE7BC077"/>
    <w:rsid w:val="FE7D8959"/>
    <w:rsid w:val="FE7E5DF9"/>
    <w:rsid w:val="FE7E9612"/>
    <w:rsid w:val="FE7F1B50"/>
    <w:rsid w:val="FE8F41B3"/>
    <w:rsid w:val="FE9A632C"/>
    <w:rsid w:val="FE9D96F1"/>
    <w:rsid w:val="FE9F677E"/>
    <w:rsid w:val="FEA5C7B6"/>
    <w:rsid w:val="FEA787D5"/>
    <w:rsid w:val="FEAB8FDE"/>
    <w:rsid w:val="FEAD13DB"/>
    <w:rsid w:val="FEB6223A"/>
    <w:rsid w:val="FEB7B933"/>
    <w:rsid w:val="FEB7FE33"/>
    <w:rsid w:val="FEB99674"/>
    <w:rsid w:val="FEBA3988"/>
    <w:rsid w:val="FEBAB4ED"/>
    <w:rsid w:val="FEBD3317"/>
    <w:rsid w:val="FEBE0B18"/>
    <w:rsid w:val="FEBE3A76"/>
    <w:rsid w:val="FEBFEB04"/>
    <w:rsid w:val="FEC556B3"/>
    <w:rsid w:val="FECE3EBF"/>
    <w:rsid w:val="FED6DF4C"/>
    <w:rsid w:val="FED71E1D"/>
    <w:rsid w:val="FEDD9962"/>
    <w:rsid w:val="FEDD9FE4"/>
    <w:rsid w:val="FEDF2F71"/>
    <w:rsid w:val="FEDF5EB7"/>
    <w:rsid w:val="FEDFFD43"/>
    <w:rsid w:val="FEE5C5D8"/>
    <w:rsid w:val="FEEBA8EE"/>
    <w:rsid w:val="FEEC656E"/>
    <w:rsid w:val="FEECAC12"/>
    <w:rsid w:val="FEEF7AF4"/>
    <w:rsid w:val="FEEF892B"/>
    <w:rsid w:val="FEEFA1ED"/>
    <w:rsid w:val="FEEFC104"/>
    <w:rsid w:val="FEF20EB5"/>
    <w:rsid w:val="FEF3AF76"/>
    <w:rsid w:val="FEF4BE2D"/>
    <w:rsid w:val="FEF4E0BB"/>
    <w:rsid w:val="FEF5D4BF"/>
    <w:rsid w:val="FEF68FC5"/>
    <w:rsid w:val="FEF6A8B4"/>
    <w:rsid w:val="FEF784D1"/>
    <w:rsid w:val="FEF93128"/>
    <w:rsid w:val="FEFB102A"/>
    <w:rsid w:val="FEFB5014"/>
    <w:rsid w:val="FEFC27E3"/>
    <w:rsid w:val="FEFD9D99"/>
    <w:rsid w:val="FEFDAD2D"/>
    <w:rsid w:val="FEFDBCC0"/>
    <w:rsid w:val="FEFE0685"/>
    <w:rsid w:val="FEFE43D3"/>
    <w:rsid w:val="FEFF134C"/>
    <w:rsid w:val="FEFF407E"/>
    <w:rsid w:val="FEFF720A"/>
    <w:rsid w:val="FEFF8B65"/>
    <w:rsid w:val="FEFFAA30"/>
    <w:rsid w:val="FEFFD1D7"/>
    <w:rsid w:val="FF178B8B"/>
    <w:rsid w:val="FF1F554A"/>
    <w:rsid w:val="FF2452A9"/>
    <w:rsid w:val="FF26CDC5"/>
    <w:rsid w:val="FF26F578"/>
    <w:rsid w:val="FF28B3AE"/>
    <w:rsid w:val="FF357401"/>
    <w:rsid w:val="FF377AA6"/>
    <w:rsid w:val="FF39C947"/>
    <w:rsid w:val="FF3A4E05"/>
    <w:rsid w:val="FF3AE16A"/>
    <w:rsid w:val="FF3B7A20"/>
    <w:rsid w:val="FF3EBC7F"/>
    <w:rsid w:val="FF3F4316"/>
    <w:rsid w:val="FF491A72"/>
    <w:rsid w:val="FF4D9828"/>
    <w:rsid w:val="FF4F1D8E"/>
    <w:rsid w:val="FF53D4EF"/>
    <w:rsid w:val="FF57C834"/>
    <w:rsid w:val="FF59C4E7"/>
    <w:rsid w:val="FF5B2AE4"/>
    <w:rsid w:val="FF5C7CF3"/>
    <w:rsid w:val="FF5DA3B4"/>
    <w:rsid w:val="FF6843F7"/>
    <w:rsid w:val="FF6945CA"/>
    <w:rsid w:val="FF695C58"/>
    <w:rsid w:val="FF6AFB1B"/>
    <w:rsid w:val="FF6B1CC5"/>
    <w:rsid w:val="FF6E84CC"/>
    <w:rsid w:val="FF6FBF1D"/>
    <w:rsid w:val="FF6FC98D"/>
    <w:rsid w:val="FF731839"/>
    <w:rsid w:val="FF73D5EA"/>
    <w:rsid w:val="FF762003"/>
    <w:rsid w:val="FF7683EF"/>
    <w:rsid w:val="FF772D73"/>
    <w:rsid w:val="FF7748AD"/>
    <w:rsid w:val="FF77665A"/>
    <w:rsid w:val="FF77B4B6"/>
    <w:rsid w:val="FF784F7A"/>
    <w:rsid w:val="FF799E16"/>
    <w:rsid w:val="FF7A5206"/>
    <w:rsid w:val="FF7B02D7"/>
    <w:rsid w:val="FF7B0821"/>
    <w:rsid w:val="FF7B1E2C"/>
    <w:rsid w:val="FF7BD73A"/>
    <w:rsid w:val="FF7BF33F"/>
    <w:rsid w:val="FF7C5728"/>
    <w:rsid w:val="FF7CA8EF"/>
    <w:rsid w:val="FF7D2275"/>
    <w:rsid w:val="FF7D5793"/>
    <w:rsid w:val="FF7E0269"/>
    <w:rsid w:val="FF7E1EF6"/>
    <w:rsid w:val="FF7E29BE"/>
    <w:rsid w:val="FF7E3CB8"/>
    <w:rsid w:val="FF7F2770"/>
    <w:rsid w:val="FF7F4AC7"/>
    <w:rsid w:val="FF7F5C9E"/>
    <w:rsid w:val="FF7F6251"/>
    <w:rsid w:val="FF7F96BA"/>
    <w:rsid w:val="FF7FD316"/>
    <w:rsid w:val="FF7FD8DA"/>
    <w:rsid w:val="FF7FDA9D"/>
    <w:rsid w:val="FF7FF9DD"/>
    <w:rsid w:val="FF8C2945"/>
    <w:rsid w:val="FF918EF5"/>
    <w:rsid w:val="FF948D2F"/>
    <w:rsid w:val="FF971908"/>
    <w:rsid w:val="FF99224F"/>
    <w:rsid w:val="FF992858"/>
    <w:rsid w:val="FF9BF08E"/>
    <w:rsid w:val="FF9D8DAF"/>
    <w:rsid w:val="FF9DB39F"/>
    <w:rsid w:val="FF9FBC6D"/>
    <w:rsid w:val="FFA1A4DC"/>
    <w:rsid w:val="FFA38BA6"/>
    <w:rsid w:val="FFA6D060"/>
    <w:rsid w:val="FFA799B4"/>
    <w:rsid w:val="FFA8C375"/>
    <w:rsid w:val="FFAE370C"/>
    <w:rsid w:val="FFAE9196"/>
    <w:rsid w:val="FFAEB873"/>
    <w:rsid w:val="FFAF354E"/>
    <w:rsid w:val="FFAF42CA"/>
    <w:rsid w:val="FFAF8D12"/>
    <w:rsid w:val="FFAFCFF0"/>
    <w:rsid w:val="FFAFDD4D"/>
    <w:rsid w:val="FFB08340"/>
    <w:rsid w:val="FFB3B058"/>
    <w:rsid w:val="FFB3CA54"/>
    <w:rsid w:val="FFB5A421"/>
    <w:rsid w:val="FFB73799"/>
    <w:rsid w:val="FFB7755A"/>
    <w:rsid w:val="FFB7BE6C"/>
    <w:rsid w:val="FFBA4066"/>
    <w:rsid w:val="FFBB60FB"/>
    <w:rsid w:val="FFBB68C5"/>
    <w:rsid w:val="FFBC0B9D"/>
    <w:rsid w:val="FFBDB103"/>
    <w:rsid w:val="FFBEC8DE"/>
    <w:rsid w:val="FFBEF234"/>
    <w:rsid w:val="FFBF1D00"/>
    <w:rsid w:val="FFBF339F"/>
    <w:rsid w:val="FFBF4431"/>
    <w:rsid w:val="FFBFBE10"/>
    <w:rsid w:val="FFBFD72B"/>
    <w:rsid w:val="FFBFD9FF"/>
    <w:rsid w:val="FFBFF434"/>
    <w:rsid w:val="FFBFFF0F"/>
    <w:rsid w:val="FFCD855A"/>
    <w:rsid w:val="FFCDC572"/>
    <w:rsid w:val="FFCE01A3"/>
    <w:rsid w:val="FFCF1EAF"/>
    <w:rsid w:val="FFCF882D"/>
    <w:rsid w:val="FFCFD605"/>
    <w:rsid w:val="FFCFDB55"/>
    <w:rsid w:val="FFD34EC1"/>
    <w:rsid w:val="FFD3828B"/>
    <w:rsid w:val="FFD578A2"/>
    <w:rsid w:val="FFD58DCB"/>
    <w:rsid w:val="FFD5F78B"/>
    <w:rsid w:val="FFD64C42"/>
    <w:rsid w:val="FFD67BE6"/>
    <w:rsid w:val="FFD76224"/>
    <w:rsid w:val="FFD77ED0"/>
    <w:rsid w:val="FFD7E2E0"/>
    <w:rsid w:val="FFD8446F"/>
    <w:rsid w:val="FFD96E03"/>
    <w:rsid w:val="FFD9DC37"/>
    <w:rsid w:val="FFD9E34C"/>
    <w:rsid w:val="FFDAD4DE"/>
    <w:rsid w:val="FFDB52A7"/>
    <w:rsid w:val="FFDC1274"/>
    <w:rsid w:val="FFDCBC2B"/>
    <w:rsid w:val="FFDCC81B"/>
    <w:rsid w:val="FFDD5966"/>
    <w:rsid w:val="FFDE60AF"/>
    <w:rsid w:val="FFDEB8ED"/>
    <w:rsid w:val="FFDEE391"/>
    <w:rsid w:val="FFDF4165"/>
    <w:rsid w:val="FFDF46BD"/>
    <w:rsid w:val="FFDF5B59"/>
    <w:rsid w:val="FFDF917F"/>
    <w:rsid w:val="FFDF9A29"/>
    <w:rsid w:val="FFDFF93B"/>
    <w:rsid w:val="FFE373A0"/>
    <w:rsid w:val="FFE37711"/>
    <w:rsid w:val="FFE4AE5D"/>
    <w:rsid w:val="FFE5D633"/>
    <w:rsid w:val="FFE6C0DD"/>
    <w:rsid w:val="FFE73FC3"/>
    <w:rsid w:val="FFE75A8C"/>
    <w:rsid w:val="FFE797F4"/>
    <w:rsid w:val="FFE8D81A"/>
    <w:rsid w:val="FFEA1DB6"/>
    <w:rsid w:val="FFEB1DE0"/>
    <w:rsid w:val="FFEB5568"/>
    <w:rsid w:val="FFEC3ACA"/>
    <w:rsid w:val="FFED1FC3"/>
    <w:rsid w:val="FFED5ACF"/>
    <w:rsid w:val="FFEE680C"/>
    <w:rsid w:val="FFEE9A39"/>
    <w:rsid w:val="FFEEAD0F"/>
    <w:rsid w:val="FFEEE447"/>
    <w:rsid w:val="FFEF09A1"/>
    <w:rsid w:val="FFEF2511"/>
    <w:rsid w:val="FFEF3219"/>
    <w:rsid w:val="FFEF5119"/>
    <w:rsid w:val="FFEF51D0"/>
    <w:rsid w:val="FFEF5C04"/>
    <w:rsid w:val="FFEF653B"/>
    <w:rsid w:val="FFEF982D"/>
    <w:rsid w:val="FFEF9CA7"/>
    <w:rsid w:val="FFEFAB06"/>
    <w:rsid w:val="FFEFBA7D"/>
    <w:rsid w:val="FFEFC4B1"/>
    <w:rsid w:val="FFEFD3C7"/>
    <w:rsid w:val="FFF282F3"/>
    <w:rsid w:val="FFF3787A"/>
    <w:rsid w:val="FFF37A09"/>
    <w:rsid w:val="FFF44F23"/>
    <w:rsid w:val="FFF528B7"/>
    <w:rsid w:val="FFF580AF"/>
    <w:rsid w:val="FFF61C7F"/>
    <w:rsid w:val="FFF6ADE0"/>
    <w:rsid w:val="FFF70200"/>
    <w:rsid w:val="FFF702CD"/>
    <w:rsid w:val="FFF705F7"/>
    <w:rsid w:val="FFF706A7"/>
    <w:rsid w:val="FFF7501D"/>
    <w:rsid w:val="FFF774D6"/>
    <w:rsid w:val="FFF7771E"/>
    <w:rsid w:val="FFF7A659"/>
    <w:rsid w:val="FFF7A951"/>
    <w:rsid w:val="FFF7B90F"/>
    <w:rsid w:val="FFF7BAB4"/>
    <w:rsid w:val="FFF7BDFD"/>
    <w:rsid w:val="FFF7F7F6"/>
    <w:rsid w:val="FFF7FEDD"/>
    <w:rsid w:val="FFF95E9C"/>
    <w:rsid w:val="FFF95F90"/>
    <w:rsid w:val="FFF98B8D"/>
    <w:rsid w:val="FFF99EDA"/>
    <w:rsid w:val="FFF9A29D"/>
    <w:rsid w:val="FFFA00E0"/>
    <w:rsid w:val="FFFA970D"/>
    <w:rsid w:val="FFFB2C86"/>
    <w:rsid w:val="FFFB5DCC"/>
    <w:rsid w:val="FFFB6282"/>
    <w:rsid w:val="FFFBA42C"/>
    <w:rsid w:val="FFFBA7CF"/>
    <w:rsid w:val="FFFBB28A"/>
    <w:rsid w:val="FFFBCA4F"/>
    <w:rsid w:val="FFFBFA16"/>
    <w:rsid w:val="FFFC9B4D"/>
    <w:rsid w:val="FFFD34B7"/>
    <w:rsid w:val="FFFD4E20"/>
    <w:rsid w:val="FFFD63DE"/>
    <w:rsid w:val="FFFD660B"/>
    <w:rsid w:val="FFFD6D57"/>
    <w:rsid w:val="FFFD6FC8"/>
    <w:rsid w:val="FFFDA974"/>
    <w:rsid w:val="FFFDABBC"/>
    <w:rsid w:val="FFFDBAC3"/>
    <w:rsid w:val="FFFDC397"/>
    <w:rsid w:val="FFFDC875"/>
    <w:rsid w:val="FFFDF6AC"/>
    <w:rsid w:val="FFFE35B6"/>
    <w:rsid w:val="FFFE395F"/>
    <w:rsid w:val="FFFE3FDF"/>
    <w:rsid w:val="FFFE6813"/>
    <w:rsid w:val="FFFE7214"/>
    <w:rsid w:val="FFFE7C31"/>
    <w:rsid w:val="FFFE93CB"/>
    <w:rsid w:val="FFFEA3CA"/>
    <w:rsid w:val="FFFEEC54"/>
    <w:rsid w:val="FFFEF61C"/>
    <w:rsid w:val="FFFF09B1"/>
    <w:rsid w:val="FFFF2B9A"/>
    <w:rsid w:val="FFFF42CB"/>
    <w:rsid w:val="FFFF45B1"/>
    <w:rsid w:val="FFFF4E7E"/>
    <w:rsid w:val="FFFF53D9"/>
    <w:rsid w:val="FFFF6622"/>
    <w:rsid w:val="FFFF67F6"/>
    <w:rsid w:val="FFFF750C"/>
    <w:rsid w:val="FFFF7757"/>
    <w:rsid w:val="FFFF7D2F"/>
    <w:rsid w:val="FFFF7D7C"/>
    <w:rsid w:val="FFFF848D"/>
    <w:rsid w:val="FFFF851B"/>
    <w:rsid w:val="FFFF8D0D"/>
    <w:rsid w:val="FFFF8D82"/>
    <w:rsid w:val="FFFF9B4B"/>
    <w:rsid w:val="FFFFA9F2"/>
    <w:rsid w:val="FFFFC09D"/>
    <w:rsid w:val="FFFFD1DD"/>
    <w:rsid w:val="FFFFD454"/>
    <w:rsid w:val="FFFFE2E5"/>
    <w:rsid w:val="FFFFF268"/>
    <w:rsid w:val="FFFFF9AF"/>
    <w:rsid w:val="FFFFF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alloon Text"/>
    <w:basedOn w:val="1"/>
    <w:unhideWhenUsed/>
    <w:qFormat/>
    <w:uiPriority w:val="99"/>
    <w:rPr>
      <w:sz w:val="18"/>
      <w:szCs w:val="18"/>
    </w:rPr>
  </w:style>
  <w:style w:type="paragraph" w:styleId="5">
    <w:name w:val="annotation text"/>
    <w:basedOn w:val="1"/>
    <w:qFormat/>
    <w:uiPriority w:val="0"/>
    <w:pPr>
      <w:jc w:val="left"/>
    </w:pPr>
  </w:style>
  <w:style w:type="paragraph" w:styleId="6">
    <w:name w:val="Body Text"/>
    <w:basedOn w:val="1"/>
    <w:qFormat/>
    <w:uiPriority w:val="0"/>
    <w:pPr>
      <w:spacing w:line="0" w:lineRule="atLeast"/>
      <w:jc w:val="center"/>
    </w:pPr>
    <w:rPr>
      <w:rFonts w:ascii="方正大标宋简体" w:eastAsia="方正大标宋简体"/>
      <w:sz w:val="44"/>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rPr>
  </w:style>
  <w:style w:type="character" w:customStyle="1" w:styleId="14">
    <w:name w:val="NormalCharacter"/>
    <w:semiHidden/>
    <w:qFormat/>
    <w:uiPriority w:val="0"/>
    <w:rPr>
      <w:rFonts w:asciiTheme="minorHAnsi" w:hAnsiTheme="minorHAnsi" w:eastAsiaTheme="minorEastAsia" w:cstheme="minorBidi"/>
      <w:kern w:val="2"/>
      <w:sz w:val="21"/>
      <w:szCs w:val="24"/>
      <w:lang w:val="en-US" w:eastAsia="zh-CN" w:bidi="ar-SA"/>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7">
    <w:name w:val="正文文字"/>
    <w:basedOn w:val="1"/>
    <w:next w:val="1"/>
    <w:qFormat/>
    <w:uiPriority w:val="99"/>
    <w:pPr>
      <w:spacing w:after="1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2748</Words>
  <Characters>15665</Characters>
  <Lines>130</Lines>
  <Paragraphs>36</Paragraphs>
  <TotalTime>8</TotalTime>
  <ScaleCrop>false</ScaleCrop>
  <LinksUpToDate>false</LinksUpToDate>
  <CharactersWithSpaces>18377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2023-03-23T07:37:00Z</dcterms:created>
  <dc:creator>刘慈航</dc:creator>
  <cp:lastModifiedBy>hss</cp:lastModifiedBy>
  <cp:lastPrinted>2024-02-09T16:56:00Z</cp:lastPrinted>
  <dcterms:modified xsi:type="dcterms:W3CDTF">2025-01-22T09:48:04Z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C3CCF84CD8F04C00AB439359171BC6B2_13</vt:lpwstr>
  </property>
</Properties>
</file>