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right"/>
        <w:rPr>
          <w:rFonts w:hint="eastAsia" w:ascii="仿宋_GB2312" w:eastAsia="仿宋_GB2312"/>
          <w:sz w:val="32"/>
          <w:szCs w:val="32"/>
        </w:rPr>
      </w:pPr>
    </w:p>
    <w:p>
      <w:pPr>
        <w:spacing w:line="620" w:lineRule="exact"/>
        <w:jc w:val="right"/>
        <w:rPr>
          <w:rFonts w:hint="eastAsia" w:ascii="仿宋_GB2312" w:eastAsia="仿宋_GB2312"/>
          <w:sz w:val="32"/>
          <w:szCs w:val="32"/>
        </w:rPr>
      </w:pPr>
    </w:p>
    <w:p>
      <w:pPr>
        <w:spacing w:line="620" w:lineRule="exact"/>
        <w:jc w:val="right"/>
        <w:rPr>
          <w:rFonts w:hint="eastAsia" w:ascii="仿宋_GB2312" w:eastAsia="仿宋_GB2312"/>
          <w:sz w:val="32"/>
          <w:szCs w:val="32"/>
        </w:rPr>
      </w:pPr>
    </w:p>
    <w:p>
      <w:pPr>
        <w:spacing w:line="620" w:lineRule="exact"/>
        <w:jc w:val="right"/>
        <w:rPr>
          <w:rFonts w:hint="eastAsia" w:ascii="仿宋_GB2312" w:eastAsia="仿宋_GB2312"/>
          <w:sz w:val="32"/>
          <w:szCs w:val="32"/>
        </w:rPr>
      </w:pPr>
    </w:p>
    <w:p>
      <w:pPr>
        <w:spacing w:line="620" w:lineRule="exact"/>
        <w:jc w:val="right"/>
        <w:rPr>
          <w:rFonts w:hint="eastAsia" w:ascii="仿宋" w:hAnsi="仿宋" w:eastAsia="仿宋" w:cs="仿宋"/>
          <w:sz w:val="32"/>
          <w:szCs w:val="32"/>
          <w:lang w:eastAsia="zh-CN"/>
        </w:rPr>
      </w:pPr>
      <w:bookmarkStart w:id="1" w:name="_GoBack"/>
      <w:bookmarkStart w:id="0" w:name="文号"/>
      <w:r>
        <w:rPr>
          <w:rFonts w:hint="eastAsia" w:ascii="仿宋" w:hAnsi="仿宋" w:eastAsia="仿宋" w:cs="仿宋"/>
          <w:sz w:val="32"/>
          <w:szCs w:val="32"/>
          <w:lang w:eastAsia="zh-CN"/>
        </w:rPr>
        <w:t>黄农函〔2021〕186号</w:t>
      </w:r>
      <w:bookmarkEnd w:id="1"/>
      <w:bookmarkEnd w:id="0"/>
    </w:p>
    <w:p>
      <w:pPr>
        <w:spacing w:line="620" w:lineRule="exact"/>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黄山市农业农村局关于印发加强招商引资招才引智推动绿色食品产业高质量发展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工作方案的通知</w:t>
      </w:r>
    </w:p>
    <w:p>
      <w:pPr>
        <w:spacing w:line="520" w:lineRule="exact"/>
        <w:jc w:val="both"/>
        <w:rPr>
          <w:rFonts w:hint="eastAsia"/>
          <w:b/>
          <w:bCs/>
          <w:sz w:val="44"/>
          <w:szCs w:val="44"/>
        </w:rPr>
      </w:pPr>
    </w:p>
    <w:p>
      <w:pPr>
        <w:spacing w:line="520" w:lineRule="exact"/>
        <w:rPr>
          <w:rFonts w:hint="eastAsia" w:ascii="仿宋" w:hAnsi="仿宋" w:eastAsia="仿宋" w:cs="仿宋"/>
          <w:sz w:val="32"/>
          <w:szCs w:val="32"/>
        </w:rPr>
      </w:pPr>
      <w:r>
        <w:rPr>
          <w:rFonts w:hint="eastAsia" w:ascii="仿宋" w:hAnsi="仿宋" w:eastAsia="仿宋" w:cs="仿宋"/>
          <w:sz w:val="32"/>
          <w:szCs w:val="32"/>
        </w:rPr>
        <w:t>各区县农业农村（水利）局（黄山区茶产业促进中心、歙县歙茶产业发展中心，黄山区、歙县农机中心），机关各科室</w:t>
      </w:r>
      <w:r>
        <w:rPr>
          <w:rFonts w:hint="eastAsia" w:ascii="仿宋" w:hAnsi="仿宋" w:eastAsia="仿宋" w:cs="仿宋"/>
          <w:sz w:val="32"/>
          <w:szCs w:val="32"/>
          <w:lang w:eastAsia="zh-CN"/>
        </w:rPr>
        <w:t>、</w:t>
      </w:r>
      <w:r>
        <w:rPr>
          <w:rFonts w:hint="eastAsia" w:ascii="仿宋" w:hAnsi="仿宋" w:eastAsia="仿宋" w:cs="仿宋"/>
          <w:sz w:val="32"/>
          <w:szCs w:val="32"/>
        </w:rPr>
        <w:t>局属各单位：</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深入落实推动绿色食品产业高质量发展，加大农业农村领域招商引资、招财引资工作力度，根据省农业农村厅有关文件精神，现将我局《加强招商引资招才引智推动绿色食品产业高质量发展工作方案》印发给你们，请认真抓好贯彻落实。</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p>
    <w:p>
      <w:pPr>
        <w:spacing w:line="520" w:lineRule="exact"/>
        <w:ind w:firstLine="4480" w:firstLineChars="14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2021年9月24日</w:t>
      </w:r>
    </w:p>
    <w:p>
      <w:pP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加强招商引资招才引智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推动绿色食品产业高质量发展工作方案</w:t>
      </w:r>
    </w:p>
    <w:p>
      <w:pPr>
        <w:jc w:val="both"/>
        <w:rPr>
          <w:rFonts w:ascii="宋体" w:hAnsi="宋体" w:cs="宋体"/>
          <w:sz w:val="44"/>
          <w:szCs w:val="44"/>
        </w:rPr>
      </w:pP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为扎实推动全市农业农村系统招商引资招才引智（以下简称“双招双引”）工作，推动绿色食品产业高质量发展，结合我市农业农村资源禀赋，特制定本方案。</w:t>
      </w:r>
    </w:p>
    <w:p>
      <w:pPr>
        <w:numPr>
          <w:ilvl w:val="0"/>
          <w:numId w:val="1"/>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主要目标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考察安徽重要讲话精神，落实省市决策部署，坚持新发展理念，用市场逻辑谋事，用资本力量干事，以“双招双引”工作为重要抓手，更好发挥农业农村部门职能，一手抓传统产业转型升级，一手抓一二三产融合。结合我市农业资源禀赋，重点发展茶业、山泉流水养鱼、特色养殖业、中药材、农旅结合等产业。经全市农业农村系统努力，培育一批叫得响的茶叶企业，建设一批有规模的绿色农产品加工企业，打造一批绿色农产品品牌，成功发展一批农旅结合企业。到2025年，实现茶产业综合产值300亿元，中药材综合产值70亿元，种养业综合产值150亿元，农旅产业收入突破300亿元，形成绿色食品产业高质量发展新格局。</w:t>
      </w:r>
    </w:p>
    <w:p>
      <w:pPr>
        <w:numPr>
          <w:ilvl w:val="0"/>
          <w:numId w:val="1"/>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总体定位</w:t>
      </w:r>
    </w:p>
    <w:p>
      <w:pPr>
        <w:spacing w:line="580" w:lineRule="exact"/>
        <w:ind w:firstLine="643" w:firstLineChars="200"/>
        <w:rPr>
          <w:rFonts w:ascii="仿宋" w:hAnsi="仿宋" w:eastAsia="仿宋" w:cs="仿宋"/>
          <w:sz w:val="32"/>
          <w:szCs w:val="32"/>
        </w:rPr>
      </w:pPr>
      <w:r>
        <w:rPr>
          <w:rFonts w:hint="eastAsia" w:ascii="楷体" w:hAnsi="楷体" w:eastAsia="楷体" w:cs="楷体"/>
          <w:b/>
          <w:bCs/>
          <w:sz w:val="32"/>
          <w:szCs w:val="32"/>
        </w:rPr>
        <w:t>----当好绿色食品产业“双招双引”“指挥部”。</w:t>
      </w:r>
      <w:r>
        <w:rPr>
          <w:rFonts w:hint="eastAsia" w:ascii="仿宋" w:hAnsi="仿宋" w:eastAsia="仿宋" w:cs="仿宋"/>
          <w:sz w:val="32"/>
          <w:szCs w:val="32"/>
        </w:rPr>
        <w:t>进一步充分发挥“链长制”相关工作机制，对应省里，建立起省市县三级扁平化联络机制以及协调机制、激励督促机制，发动全员力量，形成人人参与、整体发力的工作格局，依托三级联络机制，依靠我市特色农业资源禀赋，大力开展“双招双引”工作。</w:t>
      </w:r>
    </w:p>
    <w:p>
      <w:pPr>
        <w:spacing w:line="580" w:lineRule="exact"/>
        <w:ind w:firstLine="643" w:firstLineChars="200"/>
        <w:rPr>
          <w:rFonts w:ascii="仿宋" w:hAnsi="仿宋" w:eastAsia="仿宋" w:cs="仿宋"/>
          <w:sz w:val="32"/>
          <w:szCs w:val="32"/>
        </w:rPr>
      </w:pPr>
      <w:r>
        <w:rPr>
          <w:rFonts w:hint="eastAsia" w:ascii="楷体" w:hAnsi="楷体" w:eastAsia="楷体" w:cs="楷体"/>
          <w:b/>
          <w:bCs/>
          <w:sz w:val="32"/>
          <w:szCs w:val="32"/>
        </w:rPr>
        <w:t>----当好绿色食品产业“双招双引”“参谋部”。</w:t>
      </w:r>
      <w:r>
        <w:rPr>
          <w:rFonts w:hint="eastAsia" w:ascii="仿宋" w:hAnsi="仿宋" w:eastAsia="仿宋" w:cs="仿宋"/>
          <w:sz w:val="32"/>
          <w:szCs w:val="32"/>
        </w:rPr>
        <w:t>摸清底数，在充分分析我市农业农村资源禀赋的同时，深入开展我市绿色食品双招双引工作项目谋划，梳理国内茶产业等头部企业，有针对性引进项目，引领传统产业转型升级。</w:t>
      </w:r>
    </w:p>
    <w:p>
      <w:pPr>
        <w:spacing w:line="580" w:lineRule="exact"/>
        <w:ind w:firstLine="640"/>
        <w:rPr>
          <w:rFonts w:ascii="仿宋" w:hAnsi="仿宋" w:eastAsia="仿宋" w:cs="仿宋"/>
          <w:sz w:val="32"/>
          <w:szCs w:val="32"/>
        </w:rPr>
      </w:pPr>
      <w:r>
        <w:rPr>
          <w:rFonts w:hint="eastAsia" w:ascii="楷体" w:hAnsi="楷体" w:eastAsia="楷体" w:cs="楷体"/>
          <w:b/>
          <w:bCs/>
          <w:sz w:val="32"/>
          <w:szCs w:val="32"/>
        </w:rPr>
        <w:t>----当好绿色食品产业“双招双引”“服务部”。</w:t>
      </w:r>
      <w:r>
        <w:rPr>
          <w:rFonts w:hint="eastAsia" w:ascii="仿宋" w:hAnsi="仿宋" w:eastAsia="仿宋" w:cs="仿宋"/>
          <w:sz w:val="32"/>
          <w:szCs w:val="32"/>
        </w:rPr>
        <w:t>竭尽全力做好“双招双引”服务工作，优化营商环境，做到全周期跟踪全周期服务，促进项目落地。开展政策解读服务，第一时间向企业宣传政策。做好项目落地服务，做好成员包干对接，推动项目尽快落地，让项目真正能够“引得进，留得住”。</w:t>
      </w:r>
    </w:p>
    <w:p>
      <w:pPr>
        <w:spacing w:line="580" w:lineRule="exact"/>
        <w:ind w:firstLine="640"/>
        <w:rPr>
          <w:rFonts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三、重点举措</w:t>
      </w:r>
    </w:p>
    <w:p>
      <w:pPr>
        <w:numPr>
          <w:ilvl w:val="0"/>
          <w:numId w:val="0"/>
        </w:num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成立工作专班，上下贯通形成全员合力</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成立工作专班，成立绿色食品产业“双招双引”工作领导小组。由市局主要负责同志担任领导小组组长，分管同志任常务副组长，其他负责同志任副组长，各科室和局属单位负责人为小组成员，下设办公室和五大工作组。领导小组办公室负责制定绿色食品产业“双招双引”工作方案，牵头抓总，统筹做“双招双引”各项事宜。各相关工作推进组由牵头科室负责相关产业具体事务。</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二是</w:t>
      </w:r>
      <w:r>
        <w:rPr>
          <w:rFonts w:hint="eastAsia" w:ascii="仿宋" w:hAnsi="仿宋" w:eastAsia="仿宋" w:cs="仿宋"/>
          <w:sz w:val="32"/>
          <w:szCs w:val="32"/>
        </w:rPr>
        <w:t>各区县农业农村部门要比照市局，确定专人专班专责落实，要结合区县产业基础和比较优势，确立双招双引工作方向，要提升产业谋划，项目落地和环境营造能力，形成上下对接贯通的工作体系，做好“双招双引”政策宣传、及时将交办任务办理完成，及时报送工作经验做法。</w:t>
      </w:r>
    </w:p>
    <w:p>
      <w:pPr>
        <w:spacing w:line="580" w:lineRule="exact"/>
        <w:ind w:firstLine="640"/>
        <w:rPr>
          <w:rFonts w:hint="eastAsia" w:ascii="仿宋" w:hAnsi="仿宋" w:eastAsia="仿宋" w:cs="仿宋"/>
          <w:sz w:val="32"/>
          <w:szCs w:val="32"/>
        </w:rPr>
      </w:pPr>
      <w:r>
        <w:rPr>
          <w:rFonts w:hint="eastAsia" w:ascii="仿宋" w:hAnsi="仿宋" w:eastAsia="仿宋" w:cs="仿宋"/>
          <w:b/>
          <w:bCs/>
          <w:sz w:val="32"/>
          <w:szCs w:val="32"/>
        </w:rPr>
        <w:t>三是</w:t>
      </w:r>
      <w:r>
        <w:rPr>
          <w:rFonts w:hint="eastAsia" w:ascii="仿宋" w:hAnsi="仿宋" w:eastAsia="仿宋" w:cs="仿宋"/>
          <w:sz w:val="32"/>
          <w:szCs w:val="32"/>
        </w:rPr>
        <w:t>建立市局领导联系区县制度。市局和区县农业系统领导干部要抽出时间定期开展招引工作，分片联系指导区县开展“双招双引”工作。</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全市农业农村系统上下坚持“双招双引”工作一盘棋，坚持信息共享、坚持资源共享，加强区县之间对接交流，确保农业农村项目不外流。结合融杭接沪、对标“苏浙沪”等工作，往高处看，向先进学，向踏实做，借鉴学习外省先进经验和工作方法，主动出战，形成人人盯项目，人人有责任的工作氛围。</w:t>
      </w:r>
    </w:p>
    <w:p>
      <w:pPr>
        <w:numPr>
          <w:ilvl w:val="0"/>
          <w:numId w:val="0"/>
        </w:num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（二）依托资源禀赋开展产业分析，建立全市招商引资项目库</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全面梳理我市农业农村资源禀赋和主导产业、优势产业等现实状况。各产业工作组要明确我市发展中的自身优势，产业发展中缺乏的要素，梳理缺乏要素的探索路径，形成招商引资重点工作清单。</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二是</w:t>
      </w:r>
      <w:r>
        <w:rPr>
          <w:rFonts w:hint="eastAsia" w:ascii="仿宋" w:hAnsi="仿宋" w:eastAsia="仿宋" w:cs="仿宋"/>
          <w:sz w:val="32"/>
          <w:szCs w:val="32"/>
        </w:rPr>
        <w:t>开展产业链招商。各产业工作推进组要锁定重点目标企业，特别是央企，国内500强企业、农业龙头企业等头部企业，做好各产业发展指引规划，明确任务目标，建立专家名单库，做到高质量招引。要在明确招引领域、地区，明确招引方向的前提下形成农业“双招双引”地图。对符合条件的企业，大力开展产业链招商、精准招商，提高招商精准度和成功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各区县、各相关科室、二级机构要把“双招双引”项目谋划同农业新型经营主体培育、农民增收等结合起来</w:t>
      </w:r>
      <w:r>
        <w:rPr>
          <w:rFonts w:ascii="Times New Roman" w:hAnsi="Times New Roman" w:eastAsia="仿宋"/>
          <w:sz w:val="32"/>
          <w:szCs w:val="32"/>
        </w:rPr>
        <w:t>，充分发挥合肥、上海农交会、秸秆博览会的综合平台作用，</w:t>
      </w:r>
      <w:r>
        <w:rPr>
          <w:rFonts w:hint="eastAsia" w:ascii="仿宋" w:hAnsi="仿宋" w:eastAsia="仿宋" w:cs="仿宋"/>
          <w:sz w:val="32"/>
          <w:szCs w:val="32"/>
        </w:rPr>
        <w:t>做好绿色食品产业项目库储备，建立全市农业农村双招双引项目库。要聚焦“三农”突出短板、重点领域，梳理一批牵引性强、效益好，带动性强的现代农业农村重大项目。要着眼于我市农业农村资源禀赋，从一产种养殖、二产精深加工、三产融合等农业全产业链开展“双招双引”，促进农业丰收农民增收，巩固脱贫攻坚成果，推动乡村全面振兴，推动农业优结构、增后劲，把农业基础打得更牢，把“三农”领域短板补得更实。</w:t>
      </w:r>
    </w:p>
    <w:p>
      <w:pPr>
        <w:numPr>
          <w:ilvl w:val="0"/>
          <w:numId w:val="0"/>
        </w:numPr>
        <w:spacing w:line="580" w:lineRule="exact"/>
        <w:ind w:firstLine="643" w:firstLineChars="200"/>
        <w:rPr>
          <w:rFonts w:hint="eastAsia" w:ascii="楷体" w:hAnsi="楷体" w:eastAsia="楷体" w:cs="楷体"/>
          <w:b/>
          <w:bCs/>
          <w:spacing w:val="0"/>
          <w:sz w:val="32"/>
          <w:szCs w:val="32"/>
        </w:rPr>
      </w:pPr>
      <w:r>
        <w:rPr>
          <w:rFonts w:hint="eastAsia" w:ascii="楷体" w:hAnsi="楷体" w:eastAsia="楷体" w:cs="楷体"/>
          <w:b/>
          <w:bCs/>
          <w:sz w:val="32"/>
          <w:szCs w:val="32"/>
          <w:lang w:eastAsia="zh-CN"/>
        </w:rPr>
        <w:t>（三）</w:t>
      </w:r>
      <w:r>
        <w:rPr>
          <w:rFonts w:hint="eastAsia" w:ascii="楷体" w:hAnsi="楷体" w:eastAsia="楷体" w:cs="楷体"/>
          <w:b/>
          <w:bCs/>
          <w:spacing w:val="-6"/>
          <w:sz w:val="32"/>
          <w:szCs w:val="32"/>
        </w:rPr>
        <w:t>聚焦产业链，打好组合拳，积极发挥行业协会作用</w:t>
      </w:r>
    </w:p>
    <w:p>
      <w:pPr>
        <w:spacing w:line="580" w:lineRule="exact"/>
        <w:ind w:firstLine="643" w:firstLineChars="200"/>
        <w:rPr>
          <w:rFonts w:hint="eastAsia" w:ascii="Times New Roman" w:hAnsi="Times New Roman" w:eastAsia="仿宋"/>
          <w:color w:val="000000"/>
          <w:sz w:val="32"/>
          <w:szCs w:val="32"/>
        </w:rPr>
      </w:pPr>
      <w:r>
        <w:rPr>
          <w:rFonts w:hint="eastAsia" w:ascii="Times New Roman" w:hAnsi="Times New Roman" w:eastAsia="仿宋"/>
          <w:b/>
          <w:bCs/>
          <w:color w:val="000000"/>
          <w:sz w:val="32"/>
          <w:szCs w:val="32"/>
        </w:rPr>
        <w:t>一是</w:t>
      </w:r>
      <w:r>
        <w:rPr>
          <w:rFonts w:hint="eastAsia" w:ascii="Times New Roman" w:hAnsi="Times New Roman" w:eastAsia="仿宋"/>
          <w:color w:val="000000"/>
          <w:sz w:val="32"/>
          <w:szCs w:val="32"/>
        </w:rPr>
        <w:t>聚焦农业产业链，梳理产业链龙头骨干企业，上下游企业、技术、产品、服务，招引</w:t>
      </w:r>
      <w:r>
        <w:rPr>
          <w:rFonts w:hint="eastAsia" w:ascii="仿宋" w:hAnsi="仿宋" w:eastAsia="仿宋" w:cs="仿宋"/>
          <w:color w:val="3D3D3D"/>
          <w:sz w:val="32"/>
          <w:szCs w:val="32"/>
          <w:shd w:val="clear" w:color="auto" w:fill="FFFFFF"/>
        </w:rPr>
        <w:t>上下游企业，引进高端产品生产技术和终端产品制造企业，建立垂直供需链、横向协作链，拉长技术链，形成完整产业链，推动招引向构建完整产业链转变。</w:t>
      </w:r>
    </w:p>
    <w:p>
      <w:pPr>
        <w:spacing w:line="580" w:lineRule="exact"/>
        <w:ind w:firstLine="643" w:firstLineChars="200"/>
        <w:rPr>
          <w:rFonts w:hint="eastAsia" w:ascii="Times New Roman" w:hAnsi="Times New Roman" w:eastAsia="仿宋"/>
          <w:color w:val="000000"/>
          <w:sz w:val="32"/>
          <w:szCs w:val="32"/>
        </w:rPr>
      </w:pPr>
      <w:r>
        <w:rPr>
          <w:rFonts w:hint="eastAsia" w:ascii="Times New Roman" w:hAnsi="Times New Roman" w:eastAsia="仿宋"/>
          <w:b/>
          <w:bCs/>
          <w:color w:val="000000"/>
          <w:sz w:val="32"/>
          <w:szCs w:val="32"/>
        </w:rPr>
        <w:t>二是</w:t>
      </w:r>
      <w:r>
        <w:rPr>
          <w:rFonts w:hint="eastAsia" w:ascii="Times New Roman" w:hAnsi="Times New Roman" w:eastAsia="仿宋"/>
          <w:color w:val="000000"/>
          <w:sz w:val="32"/>
          <w:szCs w:val="32"/>
        </w:rPr>
        <w:t>打好组合拳</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推动政策制定。结合市农业农村部门职能制定促进民营经济高质量发展政策，协助组织部完善绿色食品产业高层次人才培育实施细则，优化政策体系补齐政策短板。解决资本资金问题</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发挥产业基金的引导作用和放大效应，积极联系市地方金融监管局，对符合条件的招引项目引入市级基金；对接金融机构，做好招引产业的融资工作，提高招引项目的落地率。</w:t>
      </w:r>
    </w:p>
    <w:p>
      <w:pPr>
        <w:spacing w:line="580" w:lineRule="exact"/>
        <w:ind w:firstLine="640" w:firstLineChars="200"/>
        <w:rPr>
          <w:rFonts w:hint="eastAsia" w:ascii="仿宋" w:hAnsi="仿宋" w:eastAsia="仿宋" w:cs="仿宋"/>
          <w:color w:val="000000"/>
          <w:sz w:val="32"/>
          <w:szCs w:val="32"/>
        </w:rPr>
      </w:pPr>
      <w:r>
        <w:rPr>
          <w:rFonts w:hint="eastAsia" w:ascii="Times New Roman" w:hAnsi="Times New Roman" w:eastAsia="仿宋"/>
          <w:color w:val="000000"/>
          <w:sz w:val="32"/>
          <w:szCs w:val="32"/>
        </w:rPr>
        <w:t>充分发挥行业商协会的优势，规范完善我市绿色食品协会、茶叶行业协会、山泉流水养鱼协会，建立常态化的商协会负责人联席会议制度，加强商协会在双招双引工作以及产业发展中的作用。</w:t>
      </w:r>
    </w:p>
    <w:p>
      <w:pPr>
        <w:numPr>
          <w:ilvl w:val="0"/>
          <w:numId w:val="0"/>
        </w:num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（四）加强招才引智工作，强化本系统人才培育</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围绕绿色食品产业，深入了解人才政策，对接农业科研院所和高校，引智用才，积极运用农业科研成果，探索农业农村发展新课题。针对我市农业农村发展的瓶颈问题，聘请一批乡村振兴领域的专家为我市农业农村发展把脉献策。积极与高等院校签订战略合作协议，成立绿色食品专家高质量发展库，为产业发展提供“智囊团”，持续推进绿色食品产业高质量发展。</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强化招商能力建设，开展系统培训，通过参加投资促进部门组织的培训以及本部门组织的授课和实地观摩等形式，增强全体干部的招引意识和政策水平，提升干部职工的专业能力和实战能力，强化本系统招引人才培育，提升绿色食品产业发展的基础。</w:t>
      </w:r>
    </w:p>
    <w:p>
      <w:pPr>
        <w:spacing w:line="580" w:lineRule="exact"/>
        <w:ind w:firstLine="640"/>
        <w:rPr>
          <w:rFonts w:ascii="黑体" w:hAnsi="黑体" w:eastAsia="黑体" w:cs="黑体"/>
          <w:sz w:val="32"/>
          <w:szCs w:val="32"/>
        </w:rPr>
      </w:pPr>
      <w:r>
        <w:rPr>
          <w:rFonts w:hint="eastAsia" w:ascii="黑体" w:hAnsi="黑体" w:eastAsia="黑体" w:cs="黑体"/>
          <w:sz w:val="32"/>
          <w:szCs w:val="32"/>
        </w:rPr>
        <w:t>四、保障措施</w:t>
      </w:r>
    </w:p>
    <w:p>
      <w:pPr>
        <w:numPr>
          <w:ilvl w:val="0"/>
          <w:numId w:val="0"/>
        </w:num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（一）强化组织领导，加强调度考核，落实工作责任</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充分发挥绿色食品产业“双招双引”工作领导小组的作用，配强人员力量充实到“双招双引”工作小组。定期召开会议，通报各产业工作小组和区县“双招双引”工作推进情况，强化调度建立季调度、月通报制度。建立健全专项督导考核机制，将“双招双引”工作实绩纳入市对县延伸绩效考核、乡村振兴战略实绩的重点内容，对工作落实有成效的区县、人员予以表扬激励。</w:t>
      </w:r>
    </w:p>
    <w:p>
      <w:pPr>
        <w:numPr>
          <w:ilvl w:val="0"/>
          <w:numId w:val="0"/>
        </w:num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（二）营造良好环境，加强宣传力度，做好服务保障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积极营造产业生态，用生态思维优化发展环境，以“双招双引”工作为抓手，加快形成市场化、法治化、专业化、开放型、服务型、效率型一流营商环境。利用政府网站平台、大型展会和两微一端等形式积极宣传推介我市和绿色食品产业“双招双引”政策和环境，营造绿色食品产业“双招双引”浓厚氛围，不断提升黄山绿色食品产业高质量发展的品牌度、美誉度。强化精准对接，完善跟踪服务，对意向招商项目，做好前期调研，考察接待和对接服务，对签约落地项目，要做好跟踪调度，推动项目早开工早建成，早见效。</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．绿色食品产业“双招双引”工作领导小组</w:t>
      </w:r>
    </w:p>
    <w:p>
      <w:pPr>
        <w:spacing w:line="580" w:lineRule="exact"/>
        <w:ind w:firstLine="1600" w:firstLineChars="5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．绿色食品五大产业工作小组成员名单</w:t>
      </w:r>
    </w:p>
    <w:p>
      <w:pPr>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．领导联系区县“双招双引”工作安排表</w:t>
      </w:r>
    </w:p>
    <w:p>
      <w:pPr>
        <w:spacing w:line="580" w:lineRule="exact"/>
        <w:ind w:firstLine="640" w:firstLineChars="200"/>
        <w:rPr>
          <w:rFonts w:hint="eastAsia" w:ascii="仿宋" w:hAnsi="仿宋" w:eastAsia="仿宋" w:cs="仿宋"/>
          <w:sz w:val="32"/>
          <w:szCs w:val="32"/>
        </w:rPr>
      </w:pPr>
    </w:p>
    <w:p>
      <w:pPr>
        <w:spacing w:line="580" w:lineRule="exact"/>
        <w:jc w:val="both"/>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市农业农村局“双招双引”工作领导小组</w:t>
      </w:r>
    </w:p>
    <w:p>
      <w:pPr>
        <w:spacing w:line="580" w:lineRule="exact"/>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r>
        <w:rPr>
          <w:rFonts w:hint="eastAsia" w:ascii="黑体" w:hAnsi="黑体" w:eastAsia="黑体" w:cs="黑体"/>
          <w:sz w:val="32"/>
          <w:szCs w:val="32"/>
        </w:rPr>
        <w:t>组      长：</w:t>
      </w:r>
      <w:r>
        <w:rPr>
          <w:rFonts w:hint="eastAsia" w:ascii="仿宋" w:hAnsi="仿宋" w:eastAsia="仿宋" w:cs="仿宋"/>
          <w:sz w:val="32"/>
          <w:szCs w:val="32"/>
        </w:rPr>
        <w:t>程寄县  市农业农村局党组书记、局长</w:t>
      </w:r>
    </w:p>
    <w:p>
      <w:pPr>
        <w:spacing w:line="580" w:lineRule="exact"/>
        <w:ind w:firstLine="640" w:firstLineChars="200"/>
        <w:rPr>
          <w:rFonts w:ascii="仿宋" w:hAnsi="仿宋" w:eastAsia="仿宋" w:cs="仿宋"/>
          <w:sz w:val="32"/>
          <w:szCs w:val="32"/>
        </w:rPr>
      </w:pPr>
      <w:r>
        <w:rPr>
          <w:rFonts w:hint="eastAsia" w:ascii="黑体" w:hAnsi="黑体" w:eastAsia="黑体" w:cs="黑体"/>
          <w:sz w:val="32"/>
          <w:szCs w:val="32"/>
        </w:rPr>
        <w:t>常务副组长：</w:t>
      </w:r>
      <w:r>
        <w:rPr>
          <w:rFonts w:hint="eastAsia" w:ascii="仿宋" w:hAnsi="仿宋" w:eastAsia="仿宋" w:cs="仿宋"/>
          <w:sz w:val="32"/>
          <w:szCs w:val="32"/>
        </w:rPr>
        <w:t>陈长春  市农业农村局党组成员、副局长</w:t>
      </w:r>
      <w:r>
        <w:rPr>
          <w:rFonts w:ascii="仿宋" w:hAnsi="仿宋" w:eastAsia="仿宋" w:cs="仿宋"/>
          <w:sz w:val="32"/>
          <w:szCs w:val="32"/>
        </w:rPr>
        <w:t xml:space="preserve"> </w:t>
      </w:r>
    </w:p>
    <w:p>
      <w:pPr>
        <w:spacing w:line="580" w:lineRule="exact"/>
        <w:ind w:firstLine="640" w:firstLineChars="200"/>
        <w:rPr>
          <w:rFonts w:ascii="仿宋" w:hAnsi="仿宋" w:eastAsia="仿宋" w:cs="仿宋"/>
          <w:sz w:val="32"/>
          <w:szCs w:val="32"/>
        </w:rPr>
      </w:pPr>
      <w:r>
        <w:rPr>
          <w:rFonts w:hint="eastAsia" w:ascii="黑体" w:hAnsi="黑体" w:eastAsia="黑体" w:cs="黑体"/>
          <w:sz w:val="32"/>
          <w:szCs w:val="32"/>
        </w:rPr>
        <w:t>副  组  长：</w:t>
      </w:r>
      <w:r>
        <w:rPr>
          <w:rFonts w:hint="eastAsia" w:ascii="仿宋" w:hAnsi="仿宋" w:eastAsia="仿宋" w:cs="仿宋"/>
          <w:sz w:val="32"/>
          <w:szCs w:val="32"/>
        </w:rPr>
        <w:t>汪  琪  市农业农村局党组成员、副局长</w:t>
      </w:r>
    </w:p>
    <w:p>
      <w:pPr>
        <w:spacing w:line="58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胡  毅  市农业农村局党组成员、副局长</w:t>
      </w:r>
    </w:p>
    <w:p>
      <w:pPr>
        <w:spacing w:line="58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张晓东  市农业农村局党组成员、副局长</w:t>
      </w:r>
    </w:p>
    <w:p>
      <w:pPr>
        <w:spacing w:line="580" w:lineRule="exact"/>
        <w:ind w:firstLine="2560" w:firstLineChars="800"/>
        <w:rPr>
          <w:rFonts w:hint="eastAsia" w:ascii="仿宋" w:hAnsi="仿宋" w:eastAsia="仿宋" w:cs="仿宋"/>
          <w:spacing w:val="-11"/>
          <w:sz w:val="32"/>
          <w:szCs w:val="32"/>
        </w:rPr>
      </w:pPr>
      <w:r>
        <w:rPr>
          <w:rFonts w:hint="eastAsia" w:ascii="仿宋" w:hAnsi="仿宋" w:eastAsia="仿宋" w:cs="仿宋"/>
          <w:sz w:val="32"/>
          <w:szCs w:val="32"/>
        </w:rPr>
        <w:t xml:space="preserve">詹洪亮  </w:t>
      </w:r>
      <w:r>
        <w:rPr>
          <w:rFonts w:hint="eastAsia" w:ascii="仿宋" w:hAnsi="仿宋" w:eastAsia="仿宋" w:cs="仿宋"/>
          <w:spacing w:val="-11"/>
          <w:sz w:val="32"/>
          <w:szCs w:val="32"/>
        </w:rPr>
        <w:t>市农业农村局党组成员、总农艺师</w:t>
      </w:r>
    </w:p>
    <w:p>
      <w:pPr>
        <w:spacing w:line="580" w:lineRule="exact"/>
        <w:ind w:left="3194" w:leftChars="1216" w:hanging="640" w:hangingChars="200"/>
        <w:rPr>
          <w:rFonts w:hint="eastAsia" w:ascii="仿宋" w:hAnsi="仿宋" w:eastAsia="仿宋" w:cs="仿宋"/>
          <w:sz w:val="32"/>
          <w:szCs w:val="32"/>
        </w:rPr>
      </w:pPr>
      <w:r>
        <w:rPr>
          <w:rFonts w:hint="eastAsia" w:ascii="仿宋" w:hAnsi="仿宋" w:eastAsia="仿宋" w:cs="仿宋"/>
          <w:sz w:val="32"/>
          <w:szCs w:val="32"/>
        </w:rPr>
        <w:t xml:space="preserve">吴承武  </w:t>
      </w:r>
      <w:r>
        <w:rPr>
          <w:rFonts w:hint="eastAsia" w:ascii="仿宋" w:hAnsi="仿宋" w:eastAsia="仿宋" w:cs="仿宋"/>
          <w:spacing w:val="0"/>
          <w:w w:val="80"/>
          <w:sz w:val="32"/>
          <w:szCs w:val="32"/>
        </w:rPr>
        <w:t>市农业农村局党组成员、畜牧兽医站站长</w:t>
      </w:r>
    </w:p>
    <w:p>
      <w:pPr>
        <w:spacing w:line="580" w:lineRule="exact"/>
        <w:ind w:left="3194" w:leftChars="1216" w:hanging="640" w:hangingChars="200"/>
        <w:rPr>
          <w:rFonts w:hint="eastAsia" w:ascii="仿宋" w:hAnsi="仿宋" w:eastAsia="仿宋" w:cs="仿宋"/>
          <w:sz w:val="32"/>
          <w:szCs w:val="32"/>
        </w:rPr>
      </w:pPr>
      <w:r>
        <w:rPr>
          <w:rFonts w:hint="eastAsia" w:ascii="仿宋" w:hAnsi="仿宋" w:eastAsia="仿宋" w:cs="仿宋"/>
          <w:sz w:val="32"/>
          <w:szCs w:val="32"/>
        </w:rPr>
        <w:t>徐保江  市农业农村局二级调研员</w:t>
      </w:r>
    </w:p>
    <w:p>
      <w:pPr>
        <w:spacing w:line="580" w:lineRule="exact"/>
        <w:ind w:left="3194" w:leftChars="1216" w:hanging="640" w:hangingChars="200"/>
        <w:rPr>
          <w:rFonts w:hint="eastAsia" w:ascii="仿宋" w:hAnsi="仿宋" w:eastAsia="仿宋" w:cs="仿宋"/>
          <w:sz w:val="32"/>
          <w:szCs w:val="32"/>
        </w:rPr>
      </w:pPr>
      <w:r>
        <w:rPr>
          <w:rFonts w:hint="eastAsia" w:ascii="仿宋" w:hAnsi="仿宋" w:eastAsia="仿宋" w:cs="仿宋"/>
          <w:sz w:val="32"/>
          <w:szCs w:val="32"/>
        </w:rPr>
        <w:t>余海燕  市农业农村局四级调研员</w:t>
      </w:r>
    </w:p>
    <w:p>
      <w:pPr>
        <w:spacing w:line="58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成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员：</w:t>
      </w:r>
      <w:r>
        <w:rPr>
          <w:rFonts w:hint="eastAsia" w:ascii="仿宋" w:hAnsi="仿宋" w:eastAsia="仿宋" w:cs="仿宋"/>
          <w:spacing w:val="-11"/>
          <w:sz w:val="32"/>
          <w:szCs w:val="32"/>
        </w:rPr>
        <w:t>机关各业务科室、局属二级机构主要负责人</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下设办公室，办公室设立在乡村产业科，办公室主任陈刚、副主任吴晓燕。</w:t>
      </w:r>
    </w:p>
    <w:p>
      <w:pPr>
        <w:spacing w:line="580" w:lineRule="exact"/>
        <w:jc w:val="both"/>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五大产业工作小组成员名单</w:t>
      </w:r>
    </w:p>
    <w:p>
      <w:pPr>
        <w:spacing w:line="580" w:lineRule="exact"/>
        <w:ind w:firstLine="1600" w:firstLineChars="5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茶产业双招双引工作小组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分管领导：詹洪亮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牵头单位：市茶产业促进中心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联络员：李雪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中药材双招双引工作小组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分管领导：汪 琪   余海燕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牵头单位：乡村产业科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联络员：胡升有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特色养殖业双招双引工作小组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 xml:space="preserve">分管领导：吴承武  张晓东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牵头单位：畜牧站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联络员：李永胜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山泉流水养鱼双招双引工作小组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分管领导：陈长春  徐保江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牵头单位：水产站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联络员：张雅丽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农旅产业双招双引工作小组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分管领导：胡毅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牵头单位：社会事业科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联络员：徐佳</w:t>
      </w:r>
    </w:p>
    <w:p>
      <w:pPr>
        <w:spacing w:line="580" w:lineRule="exact"/>
        <w:jc w:val="both"/>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80" w:lineRule="exact"/>
        <w:rPr>
          <w:rFonts w:hint="eastAsia"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黄山市农业农村局领导联系区县</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“双招双引”工作安排表</w:t>
      </w:r>
    </w:p>
    <w:p>
      <w:pPr>
        <w:spacing w:line="580" w:lineRule="exact"/>
        <w:jc w:val="center"/>
        <w:rPr>
          <w:rFonts w:ascii="方正小标宋简体" w:hAnsi="方正小标宋简体" w:eastAsia="方正小标宋简体" w:cs="方正小标宋简体"/>
          <w:sz w:val="44"/>
          <w:szCs w:val="44"/>
        </w:rPr>
      </w:pP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3001"/>
        <w:gridCol w:w="1678"/>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Align w:val="center"/>
          </w:tcPr>
          <w:p>
            <w:pPr>
              <w:spacing w:line="58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联系领导</w:t>
            </w:r>
          </w:p>
        </w:tc>
        <w:tc>
          <w:tcPr>
            <w:tcW w:w="3001" w:type="dxa"/>
            <w:vAlign w:val="center"/>
          </w:tcPr>
          <w:p>
            <w:pPr>
              <w:spacing w:line="58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职务</w:t>
            </w:r>
          </w:p>
        </w:tc>
        <w:tc>
          <w:tcPr>
            <w:tcW w:w="1678" w:type="dxa"/>
            <w:vAlign w:val="center"/>
          </w:tcPr>
          <w:p>
            <w:pPr>
              <w:spacing w:line="58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区县</w:t>
            </w:r>
          </w:p>
        </w:tc>
        <w:tc>
          <w:tcPr>
            <w:tcW w:w="1768" w:type="dxa"/>
            <w:vAlign w:val="center"/>
          </w:tcPr>
          <w:p>
            <w:pPr>
              <w:spacing w:line="58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081" w:type="dxa"/>
            <w:vAlign w:val="center"/>
          </w:tcPr>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程寄县</w:t>
            </w:r>
          </w:p>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余海燕</w:t>
            </w:r>
          </w:p>
        </w:tc>
        <w:tc>
          <w:tcPr>
            <w:tcW w:w="3001" w:type="dxa"/>
            <w:vAlign w:val="center"/>
          </w:tcPr>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党组书记、局长</w:t>
            </w:r>
          </w:p>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四级调研员</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歙  县</w:t>
            </w:r>
          </w:p>
        </w:tc>
        <w:tc>
          <w:tcPr>
            <w:tcW w:w="1768" w:type="dxa"/>
            <w:vMerge w:val="restart"/>
            <w:vAlign w:val="center"/>
          </w:tcPr>
          <w:p>
            <w:pPr>
              <w:spacing w:line="580" w:lineRule="exact"/>
              <w:jc w:val="both"/>
              <w:rPr>
                <w:rFonts w:ascii="仿宋" w:hAnsi="仿宋" w:eastAsia="仿宋" w:cs="仿宋"/>
                <w:sz w:val="28"/>
                <w:szCs w:val="28"/>
              </w:rPr>
            </w:pPr>
            <w:r>
              <w:rPr>
                <w:rFonts w:hint="eastAsia" w:ascii="仿宋" w:hAnsi="仿宋" w:eastAsia="仿宋" w:cs="仿宋"/>
                <w:sz w:val="28"/>
                <w:szCs w:val="28"/>
              </w:rPr>
              <w:t>1.定期调研指导区县双招双引工作。</w:t>
            </w:r>
          </w:p>
          <w:p>
            <w:pPr>
              <w:spacing w:line="580" w:lineRule="exact"/>
              <w:jc w:val="both"/>
              <w:rPr>
                <w:rFonts w:ascii="仿宋" w:hAnsi="仿宋" w:eastAsia="仿宋" w:cs="仿宋"/>
                <w:sz w:val="32"/>
                <w:szCs w:val="32"/>
              </w:rPr>
            </w:pPr>
            <w:r>
              <w:rPr>
                <w:rFonts w:hint="eastAsia" w:ascii="仿宋" w:hAnsi="仿宋" w:eastAsia="仿宋" w:cs="仿宋"/>
                <w:sz w:val="28"/>
                <w:szCs w:val="28"/>
              </w:rPr>
              <w:t>2.协调解决双招双引工作中出现的问题。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08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陈长春</w:t>
            </w:r>
          </w:p>
        </w:tc>
        <w:tc>
          <w:tcPr>
            <w:tcW w:w="300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党组成员、副局长</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祁门县</w:t>
            </w:r>
          </w:p>
        </w:tc>
        <w:tc>
          <w:tcPr>
            <w:tcW w:w="1768" w:type="dxa"/>
            <w:vMerge w:val="continue"/>
            <w:vAlign w:val="top"/>
          </w:tcPr>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08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汪  琪</w:t>
            </w:r>
          </w:p>
        </w:tc>
        <w:tc>
          <w:tcPr>
            <w:tcW w:w="300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党组成员、副局长</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休宁县</w:t>
            </w:r>
          </w:p>
        </w:tc>
        <w:tc>
          <w:tcPr>
            <w:tcW w:w="1768" w:type="dxa"/>
            <w:vMerge w:val="continue"/>
            <w:vAlign w:val="top"/>
          </w:tcPr>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208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胡  毅</w:t>
            </w:r>
          </w:p>
        </w:tc>
        <w:tc>
          <w:tcPr>
            <w:tcW w:w="300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党组成员、副局长</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徽州区</w:t>
            </w:r>
          </w:p>
        </w:tc>
        <w:tc>
          <w:tcPr>
            <w:tcW w:w="1768" w:type="dxa"/>
            <w:vMerge w:val="continue"/>
            <w:vAlign w:val="top"/>
          </w:tcPr>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208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詹洪亮</w:t>
            </w:r>
          </w:p>
        </w:tc>
        <w:tc>
          <w:tcPr>
            <w:tcW w:w="300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党组成员、总农艺师</w:t>
            </w:r>
          </w:p>
        </w:tc>
        <w:tc>
          <w:tcPr>
            <w:tcW w:w="1678" w:type="dxa"/>
            <w:vAlign w:val="center"/>
          </w:tcPr>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屯溪区</w:t>
            </w:r>
          </w:p>
          <w:p>
            <w:pPr>
              <w:spacing w:line="580" w:lineRule="exact"/>
              <w:jc w:val="center"/>
              <w:rPr>
                <w:rFonts w:ascii="仿宋" w:hAnsi="仿宋" w:eastAsia="仿宋" w:cs="仿宋"/>
                <w:sz w:val="28"/>
                <w:szCs w:val="28"/>
              </w:rPr>
            </w:pPr>
            <w:r>
              <w:rPr>
                <w:rFonts w:hint="eastAsia" w:ascii="仿宋" w:hAnsi="仿宋" w:eastAsia="仿宋" w:cs="仿宋"/>
                <w:sz w:val="28"/>
                <w:szCs w:val="28"/>
              </w:rPr>
              <w:t>（高新区）</w:t>
            </w:r>
          </w:p>
        </w:tc>
        <w:tc>
          <w:tcPr>
            <w:tcW w:w="1768" w:type="dxa"/>
            <w:vMerge w:val="continue"/>
            <w:vAlign w:val="top"/>
          </w:tcPr>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吴承武</w:t>
            </w:r>
          </w:p>
        </w:tc>
        <w:tc>
          <w:tcPr>
            <w:tcW w:w="3001"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党组成员、</w:t>
            </w:r>
          </w:p>
          <w:p>
            <w:pPr>
              <w:spacing w:line="580" w:lineRule="exact"/>
              <w:jc w:val="center"/>
              <w:rPr>
                <w:rFonts w:ascii="仿宋" w:hAnsi="仿宋" w:eastAsia="仿宋" w:cs="仿宋"/>
                <w:sz w:val="28"/>
                <w:szCs w:val="28"/>
              </w:rPr>
            </w:pPr>
            <w:r>
              <w:rPr>
                <w:rFonts w:hint="eastAsia" w:ascii="仿宋" w:hAnsi="仿宋" w:eastAsia="仿宋" w:cs="仿宋"/>
                <w:sz w:val="28"/>
                <w:szCs w:val="28"/>
              </w:rPr>
              <w:t>畜牧站站长</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黄山区</w:t>
            </w:r>
          </w:p>
        </w:tc>
        <w:tc>
          <w:tcPr>
            <w:tcW w:w="1768" w:type="dxa"/>
            <w:vMerge w:val="continue"/>
            <w:vAlign w:val="top"/>
          </w:tcPr>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2081" w:type="dxa"/>
            <w:vAlign w:val="center"/>
          </w:tcPr>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张晓东</w:t>
            </w:r>
          </w:p>
          <w:p>
            <w:pPr>
              <w:spacing w:line="580" w:lineRule="exact"/>
              <w:jc w:val="center"/>
              <w:rPr>
                <w:rFonts w:ascii="仿宋" w:hAnsi="仿宋" w:eastAsia="仿宋" w:cs="仿宋"/>
                <w:sz w:val="28"/>
                <w:szCs w:val="28"/>
              </w:rPr>
            </w:pPr>
            <w:r>
              <w:rPr>
                <w:rFonts w:hint="eastAsia" w:ascii="仿宋" w:hAnsi="仿宋" w:eastAsia="仿宋" w:cs="仿宋"/>
                <w:sz w:val="28"/>
                <w:szCs w:val="28"/>
              </w:rPr>
              <w:t>徐保江</w:t>
            </w:r>
          </w:p>
        </w:tc>
        <w:tc>
          <w:tcPr>
            <w:tcW w:w="3001" w:type="dxa"/>
            <w:vAlign w:val="center"/>
          </w:tcPr>
          <w:p>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党组成员，副局长</w:t>
            </w:r>
          </w:p>
          <w:p>
            <w:pPr>
              <w:spacing w:line="580" w:lineRule="exact"/>
              <w:jc w:val="center"/>
              <w:rPr>
                <w:rFonts w:ascii="仿宋" w:hAnsi="仿宋" w:eastAsia="仿宋" w:cs="仿宋"/>
                <w:sz w:val="28"/>
                <w:szCs w:val="28"/>
              </w:rPr>
            </w:pPr>
            <w:r>
              <w:rPr>
                <w:rFonts w:hint="eastAsia" w:ascii="仿宋" w:hAnsi="仿宋" w:eastAsia="仿宋" w:cs="仿宋"/>
                <w:sz w:val="28"/>
                <w:szCs w:val="28"/>
              </w:rPr>
              <w:t>二级调研员</w:t>
            </w:r>
          </w:p>
        </w:tc>
        <w:tc>
          <w:tcPr>
            <w:tcW w:w="1678" w:type="dxa"/>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黟  县</w:t>
            </w:r>
          </w:p>
        </w:tc>
        <w:tc>
          <w:tcPr>
            <w:tcW w:w="1768" w:type="dxa"/>
            <w:vMerge w:val="continue"/>
            <w:vAlign w:val="top"/>
          </w:tcPr>
          <w:p>
            <w:pPr>
              <w:spacing w:line="580" w:lineRule="exact"/>
              <w:rPr>
                <w:rFonts w:ascii="仿宋" w:hAnsi="仿宋" w:eastAsia="仿宋" w:cs="仿宋"/>
                <w:sz w:val="32"/>
                <w:szCs w:val="32"/>
              </w:rPr>
            </w:pPr>
          </w:p>
        </w:tc>
      </w:tr>
    </w:tbl>
    <w:p>
      <w:pPr>
        <w:rPr>
          <w:rFonts w:hint="eastAsia"/>
          <w:lang w:val="en-US" w:eastAsia="zh-CN"/>
        </w:rPr>
      </w:pPr>
    </w:p>
    <w:p/>
    <w:sectPr>
      <w:footerReference r:id="rId3" w:type="default"/>
      <w:pgSz w:w="11906" w:h="16838"/>
      <w:pgMar w:top="1440" w:right="1797" w:bottom="1440" w:left="1797" w:header="851" w:footer="992" w:gutter="0"/>
      <w:pgNumType w:fmt="numberInDash"/>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7E393"/>
    <w:multiLevelType w:val="singleLevel"/>
    <w:tmpl w:val="60F7E3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4216A"/>
    <w:rsid w:val="6404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2021-10-14T09:38:00Z</dcterms:created>
  <dc:creator>弓瑞</dc:creator>
  <cp:lastModifiedBy>弓瑞</cp:lastModifiedBy>
  <dcterms:modified xsi:type="dcterms:W3CDTF">2021-10-14T09:39:51Z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