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sz w:val="32"/>
          <w:szCs w:val="32"/>
        </w:rPr>
      </w:pPr>
      <w:r>
        <w:rPr>
          <w:rFonts w:hint="eastAsia" w:ascii="黑体" w:hAnsi="黑体" w:eastAsia="黑体" w:cs="黑体"/>
          <w:sz w:val="32"/>
          <w:szCs w:val="32"/>
        </w:rPr>
        <w:t>附件1</w:t>
      </w:r>
    </w:p>
    <w:p>
      <w:pPr>
        <w:pStyle w:val="6"/>
        <w:widowControl/>
        <w:spacing w:before="0" w:beforeAutospacing="0" w:after="0" w:afterAutospacing="0" w:line="600" w:lineRule="exact"/>
        <w:jc w:val="center"/>
        <w:rPr>
          <w:rFonts w:ascii="黑体" w:hAnsi="黑体" w:eastAsia="黑体" w:cs="黑体"/>
          <w:sz w:val="32"/>
          <w:szCs w:val="32"/>
        </w:rPr>
      </w:pPr>
      <w:bookmarkStart w:id="0" w:name="_GoBack"/>
      <w:bookmarkEnd w:id="0"/>
    </w:p>
    <w:p>
      <w:pPr>
        <w:pStyle w:val="6"/>
        <w:widowControl/>
        <w:spacing w:before="0" w:beforeAutospacing="0" w:after="0" w:afterAutospacing="0" w:line="600" w:lineRule="exact"/>
        <w:jc w:val="center"/>
        <w:rPr>
          <w:rFonts w:eastAsia="方正小标宋简体"/>
          <w:sz w:val="44"/>
          <w:szCs w:val="44"/>
        </w:rPr>
      </w:pPr>
      <w:r>
        <w:rPr>
          <w:rFonts w:eastAsia="方正小标宋简体"/>
          <w:sz w:val="44"/>
          <w:szCs w:val="44"/>
        </w:rPr>
        <w:t>《药品检查管理办法（试行）》</w:t>
      </w:r>
      <w:r>
        <w:rPr>
          <w:rFonts w:hint="eastAsia" w:eastAsia="方正小标宋简体"/>
          <w:sz w:val="44"/>
          <w:szCs w:val="44"/>
        </w:rPr>
        <w:t>修订条款</w:t>
      </w:r>
    </w:p>
    <w:p>
      <w:pPr>
        <w:pStyle w:val="6"/>
        <w:widowControl/>
        <w:spacing w:before="0" w:beforeAutospacing="0" w:after="0" w:afterAutospacing="0" w:line="600" w:lineRule="exact"/>
        <w:jc w:val="center"/>
        <w:rPr>
          <w:rFonts w:eastAsia="仿宋_GB2312"/>
          <w:sz w:val="32"/>
          <w:szCs w:val="32"/>
        </w:rPr>
      </w:pPr>
    </w:p>
    <w:p>
      <w:pPr>
        <w:pStyle w:val="6"/>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十五条第二款修改为：“检查组在现场检查过程中，需要当场开展固定相关证据等行为时，检查组中执法人员不足2名的，应当由负责该被检查单位监管工作的药品监督管理部门派出2名以上执法人员负责相关工作。”</w:t>
      </w:r>
    </w:p>
    <w:p>
      <w:pPr>
        <w:pStyle w:val="6"/>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十六条修改为：“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pStyle w:val="6"/>
        <w:numPr>
          <w:ilvl w:val="0"/>
          <w:numId w:val="1"/>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将第二十六条修改为：“现场检查结论分为符合要求、待整改后评定、不符合要求。综合评定结论分为符合要求、不符合要求。”</w:t>
      </w:r>
    </w:p>
    <w:p>
      <w:pPr>
        <w:pStyle w:val="6"/>
        <w:numPr>
          <w:ilvl w:val="0"/>
          <w:numId w:val="1"/>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将第二十七条修改为：</w:t>
      </w:r>
      <w:r>
        <w:rPr>
          <w:rFonts w:eastAsia="仿宋_GB2312"/>
          <w:sz w:val="32"/>
          <w:szCs w:val="32"/>
        </w:rPr>
        <w:t>“药品生产企业现场检查结论的评定标准：</w:t>
      </w:r>
    </w:p>
    <w:p>
      <w:pPr>
        <w:adjustRightInd w:val="0"/>
        <w:snapToGrid w:val="0"/>
        <w:spacing w:line="62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adjustRightInd w:val="0"/>
        <w:snapToGrid w:val="0"/>
        <w:spacing w:line="62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“（二）发现缺陷有一定质量安全风险，但质量管理体系基本健全，检查结论为待整改后评定，包含但不限于以下情形：</w:t>
      </w:r>
    </w:p>
    <w:p>
      <w:pPr>
        <w:adjustRightInd w:val="0"/>
        <w:snapToGrid w:val="0"/>
        <w:spacing w:line="62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pPr>
        <w:adjustRightInd w:val="0"/>
        <w:snapToGrid w:val="0"/>
        <w:spacing w:line="62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pPr>
        <w:adjustRightInd w:val="0"/>
        <w:snapToGrid w:val="0"/>
        <w:spacing w:line="62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pPr>
        <w:adjustRightInd w:val="0"/>
        <w:snapToGrid w:val="0"/>
        <w:spacing w:line="620" w:lineRule="exact"/>
        <w:ind w:firstLine="640" w:firstLineChars="200"/>
        <w:rPr>
          <w:rFonts w:eastAsia="仿宋_GB2312"/>
          <w:sz w:val="32"/>
          <w:szCs w:val="32"/>
        </w:rPr>
      </w:pPr>
      <w:r>
        <w:rPr>
          <w:rFonts w:eastAsia="仿宋_GB2312"/>
          <w:sz w:val="32"/>
          <w:szCs w:val="32"/>
        </w:rPr>
        <w:t>“1.对使用者造成危害或者存在健康风险；</w:t>
      </w:r>
    </w:p>
    <w:p>
      <w:pPr>
        <w:adjustRightInd w:val="0"/>
        <w:snapToGrid w:val="0"/>
        <w:spacing w:line="620" w:lineRule="exact"/>
        <w:ind w:firstLine="640" w:firstLineChars="200"/>
        <w:rPr>
          <w:rFonts w:eastAsia="仿宋_GB2312"/>
          <w:sz w:val="32"/>
          <w:szCs w:val="32"/>
        </w:rPr>
      </w:pPr>
      <w:r>
        <w:rPr>
          <w:rFonts w:eastAsia="仿宋_GB2312"/>
          <w:sz w:val="32"/>
          <w:szCs w:val="32"/>
        </w:rPr>
        <w:t>“2.与GMP要求有严重偏离，给产品质量带来严重风险；</w:t>
      </w:r>
    </w:p>
    <w:p>
      <w:pPr>
        <w:adjustRightInd w:val="0"/>
        <w:snapToGrid w:val="0"/>
        <w:spacing w:line="62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pPr>
        <w:adjustRightInd w:val="0"/>
        <w:snapToGrid w:val="0"/>
        <w:spacing w:line="62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pPr>
        <w:pStyle w:val="6"/>
        <w:numPr>
          <w:ilvl w:val="0"/>
          <w:numId w:val="1"/>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将第二十八条修改为：</w:t>
      </w:r>
      <w:r>
        <w:rPr>
          <w:rFonts w:eastAsia="仿宋_GB2312"/>
          <w:sz w:val="32"/>
          <w:szCs w:val="32"/>
        </w:rPr>
        <w:t>“药品经营企业现场检查结论的评定标准：</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“（一）未发现缺陷或者缺陷质量安全风险轻微、质量管理体系比较健全的，检查结论为符合要求。</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“（二）发现一般缺陷、主要缺陷有一定质量安全风险，但质量管理体系基本健全，检查结论为待整改后评定，包含但不限于以下情形：</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“1.与《药品经营质量管理规范》（以下简称GSP）有偏离，会引发低等级质量安全风险，但不影响药品质量的行为；</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“2.计算机系统、质量管理体系文件不完善，结合实际经综合分析判定只对药品质量管理体系运行产生一般影响。</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发现严重缺陷，或者发现的主要缺陷和一般缺陷涉及企业质量管理体系运行，可能引发较严重质量安全风险，检查结论为不符合要求，包含但不限于以下</w:t>
      </w:r>
      <w:r>
        <w:rPr>
          <w:rFonts w:hint="eastAsia" w:eastAsia="仿宋_GB2312"/>
          <w:sz w:val="32"/>
          <w:szCs w:val="32"/>
        </w:rPr>
        <w:t>情形</w:t>
      </w:r>
      <w:r>
        <w:rPr>
          <w:rFonts w:eastAsia="仿宋_GB2312"/>
          <w:sz w:val="32"/>
          <w:szCs w:val="32"/>
        </w:rPr>
        <w:t>：</w:t>
      </w:r>
    </w:p>
    <w:p>
      <w:pPr>
        <w:spacing w:line="620" w:lineRule="exact"/>
        <w:ind w:firstLine="640" w:firstLineChars="200"/>
        <w:rPr>
          <w:rFonts w:eastAsia="仿宋_GB2312"/>
          <w:sz w:val="32"/>
          <w:szCs w:val="32"/>
        </w:rPr>
      </w:pPr>
      <w:r>
        <w:rPr>
          <w:rFonts w:eastAsia="仿宋_GB2312"/>
          <w:sz w:val="32"/>
          <w:szCs w:val="32"/>
        </w:rPr>
        <w:t>“1.储存、运输过程中存在对药品质量产生严重影响的行为；</w:t>
      </w:r>
    </w:p>
    <w:p>
      <w:pPr>
        <w:spacing w:line="620" w:lineRule="exact"/>
        <w:ind w:firstLine="640" w:firstLineChars="200"/>
        <w:rPr>
          <w:rFonts w:eastAsia="仿宋_GB2312"/>
          <w:sz w:val="32"/>
          <w:szCs w:val="32"/>
        </w:rPr>
      </w:pPr>
      <w:r>
        <w:rPr>
          <w:rFonts w:eastAsia="仿宋_GB2312"/>
          <w:sz w:val="32"/>
          <w:szCs w:val="32"/>
        </w:rPr>
        <w:t>“2.企业记录经营活动的数据不真实，经营活动过程不可核查；</w:t>
      </w:r>
    </w:p>
    <w:p>
      <w:pPr>
        <w:spacing w:line="620" w:lineRule="exact"/>
        <w:ind w:firstLine="640" w:firstLineChars="200"/>
        <w:rPr>
          <w:rFonts w:eastAsia="仿宋_GB2312"/>
          <w:sz w:val="32"/>
          <w:szCs w:val="32"/>
        </w:rPr>
      </w:pPr>
      <w:r>
        <w:rPr>
          <w:rFonts w:eastAsia="仿宋_GB2312"/>
          <w:sz w:val="32"/>
          <w:szCs w:val="32"/>
        </w:rPr>
        <w:t>“3.发现多项关联主要缺陷，分析表明质量管理体系不能有效运行。”</w:t>
      </w:r>
    </w:p>
    <w:p>
      <w:pPr>
        <w:pStyle w:val="6"/>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六、</w:t>
      </w:r>
      <w:r>
        <w:rPr>
          <w:rFonts w:eastAsia="仿宋_GB2312"/>
          <w:sz w:val="32"/>
          <w:szCs w:val="32"/>
        </w:rPr>
        <w:t>增加一条，作为第</w:t>
      </w:r>
      <w:r>
        <w:rPr>
          <w:rFonts w:hint="eastAsia" w:eastAsia="仿宋_GB2312"/>
          <w:sz w:val="32"/>
          <w:szCs w:val="32"/>
        </w:rPr>
        <w:t>二十九</w:t>
      </w:r>
      <w:r>
        <w:rPr>
          <w:rFonts w:eastAsia="仿宋_GB2312"/>
          <w:sz w:val="32"/>
          <w:szCs w:val="32"/>
        </w:rPr>
        <w:t>条：“综合评定结论的评定标准：</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“（二）发现缺陷有严重质量安全风险，质量管理体系不能有效运行的，评定结论为不符合要求。</w:t>
      </w:r>
    </w:p>
    <w:p>
      <w:pPr>
        <w:spacing w:line="620" w:lineRule="exact"/>
        <w:ind w:firstLine="640" w:firstLineChars="200"/>
        <w:rPr>
          <w:rFonts w:eastAsia="仿宋_GB2312"/>
          <w:sz w:val="32"/>
          <w:szCs w:val="32"/>
        </w:rPr>
      </w:pPr>
      <w:r>
        <w:rPr>
          <w:rFonts w:eastAsia="仿宋_GB2312"/>
          <w:sz w:val="32"/>
          <w:szCs w:val="32"/>
        </w:rPr>
        <w:t>“发现缺陷有一定质量安全风险经整改仍未有效控制风险，或者质量管理体系仍不能有效运行的，评定结论为不符合要求。”</w:t>
      </w:r>
    </w:p>
    <w:p>
      <w:pPr>
        <w:pStyle w:val="6"/>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七、</w:t>
      </w:r>
      <w:r>
        <w:rPr>
          <w:rFonts w:eastAsia="仿宋_GB2312"/>
          <w:sz w:val="32"/>
          <w:szCs w:val="32"/>
        </w:rPr>
        <w:t>将第</w:t>
      </w:r>
      <w:r>
        <w:rPr>
          <w:rFonts w:hint="eastAsia" w:eastAsia="仿宋_GB2312"/>
          <w:sz w:val="32"/>
          <w:szCs w:val="32"/>
        </w:rPr>
        <w:t>二十九</w:t>
      </w:r>
      <w:r>
        <w:rPr>
          <w:rFonts w:eastAsia="仿宋_GB2312"/>
          <w:sz w:val="32"/>
          <w:szCs w:val="32"/>
        </w:rPr>
        <w:t>条改为第</w:t>
      </w:r>
      <w:r>
        <w:rPr>
          <w:rFonts w:hint="eastAsia" w:eastAsia="仿宋_GB2312"/>
          <w:sz w:val="32"/>
          <w:szCs w:val="32"/>
        </w:rPr>
        <w:t>三十</w:t>
      </w:r>
      <w:r>
        <w:rPr>
          <w:rFonts w:eastAsia="仿宋_GB2312"/>
          <w:sz w:val="32"/>
          <w:szCs w:val="32"/>
        </w:rPr>
        <w:t>条，并修改为：“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620" w:lineRule="exact"/>
        <w:ind w:firstLine="640" w:firstLineChars="200"/>
        <w:rPr>
          <w:rFonts w:eastAsia="仿宋_GB2312"/>
          <w:sz w:val="32"/>
          <w:szCs w:val="32"/>
        </w:rPr>
      </w:pPr>
      <w:r>
        <w:rPr>
          <w:rFonts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620" w:lineRule="exact"/>
        <w:ind w:firstLine="640" w:firstLineChars="200"/>
        <w:rPr>
          <w:rFonts w:eastAsia="仿宋_GB2312"/>
          <w:sz w:val="32"/>
          <w:szCs w:val="32"/>
        </w:rPr>
      </w:pPr>
      <w:r>
        <w:rPr>
          <w:rFonts w:eastAsia="仿宋_GB2312"/>
          <w:sz w:val="32"/>
          <w:szCs w:val="32"/>
        </w:rPr>
        <w:t>“药品监督管理部门应当及时将综合评定结论告知被检查单位。”</w:t>
      </w:r>
    </w:p>
    <w:p>
      <w:pPr>
        <w:pStyle w:val="6"/>
        <w:numPr>
          <w:ilvl w:val="0"/>
          <w:numId w:val="2"/>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w:t>
      </w:r>
      <w:r>
        <w:rPr>
          <w:rFonts w:hint="eastAsia" w:eastAsia="仿宋_GB2312"/>
          <w:sz w:val="32"/>
          <w:szCs w:val="32"/>
        </w:rPr>
        <w:t>三十二</w:t>
      </w:r>
      <w:r>
        <w:rPr>
          <w:rFonts w:eastAsia="仿宋_GB2312"/>
          <w:sz w:val="32"/>
          <w:szCs w:val="32"/>
        </w:rPr>
        <w:t>条改为第</w:t>
      </w:r>
      <w:r>
        <w:rPr>
          <w:rFonts w:hint="eastAsia" w:eastAsia="仿宋_GB2312"/>
          <w:sz w:val="32"/>
          <w:szCs w:val="32"/>
        </w:rPr>
        <w:t>三十三</w:t>
      </w:r>
      <w:r>
        <w:rPr>
          <w:rFonts w:eastAsia="仿宋_GB2312"/>
          <w:sz w:val="32"/>
          <w:szCs w:val="32"/>
        </w:rPr>
        <w:t>条，并将第一款修改为：“现场检查结束后，被检查单位应当针对缺陷项目进行整改，于30个工作日内向派出检查单位提交整改报告；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w:t>
      </w:r>
      <w:r>
        <w:rPr>
          <w:rFonts w:hint="eastAsia" w:eastAsia="仿宋_GB2312"/>
          <w:sz w:val="32"/>
          <w:szCs w:val="32"/>
        </w:rPr>
        <w:t>控制</w:t>
      </w:r>
      <w:r>
        <w:rPr>
          <w:rFonts w:eastAsia="仿宋_GB2312"/>
          <w:sz w:val="32"/>
          <w:szCs w:val="32"/>
        </w:rPr>
        <w:t>措施。”</w:t>
      </w:r>
    </w:p>
    <w:p>
      <w:pPr>
        <w:pStyle w:val="6"/>
        <w:numPr>
          <w:ilvl w:val="0"/>
          <w:numId w:val="2"/>
        </w:numPr>
        <w:spacing w:before="0" w:beforeAutospacing="0" w:after="0" w:afterAutospacing="0" w:line="620" w:lineRule="exact"/>
        <w:ind w:firstLine="640" w:firstLineChars="200"/>
        <w:jc w:val="both"/>
        <w:rPr>
          <w:rFonts w:eastAsia="仿宋_GB2312"/>
          <w:sz w:val="32"/>
          <w:szCs w:val="32"/>
        </w:rPr>
      </w:pPr>
      <w:r>
        <w:rPr>
          <w:rFonts w:hint="eastAsia" w:eastAsia="仿宋_GB2312"/>
          <w:sz w:val="32"/>
          <w:szCs w:val="32"/>
        </w:rPr>
        <w:t>删去第三十五条、第三十九条。</w:t>
      </w:r>
    </w:p>
    <w:p>
      <w:pPr>
        <w:pStyle w:val="6"/>
        <w:numPr>
          <w:ilvl w:val="0"/>
          <w:numId w:val="2"/>
        </w:numPr>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将第</w:t>
      </w:r>
      <w:r>
        <w:rPr>
          <w:rFonts w:hint="eastAsia" w:eastAsia="仿宋_GB2312"/>
          <w:sz w:val="32"/>
          <w:szCs w:val="32"/>
        </w:rPr>
        <w:t>六十二</w:t>
      </w:r>
      <w:r>
        <w:rPr>
          <w:rFonts w:eastAsia="仿宋_GB2312"/>
          <w:sz w:val="32"/>
          <w:szCs w:val="32"/>
        </w:rPr>
        <w:t>条改为第</w:t>
      </w:r>
      <w:r>
        <w:rPr>
          <w:rFonts w:hint="eastAsia" w:eastAsia="仿宋_GB2312"/>
          <w:sz w:val="32"/>
          <w:szCs w:val="32"/>
        </w:rPr>
        <w:t>六十一</w:t>
      </w:r>
      <w:r>
        <w:rPr>
          <w:rFonts w:eastAsia="仿宋_GB2312"/>
          <w:sz w:val="32"/>
          <w:szCs w:val="32"/>
        </w:rPr>
        <w:t>条，并修改为：“</w:t>
      </w:r>
      <w:r>
        <w:rPr>
          <w:rFonts w:eastAsia="仿宋_GB2312"/>
          <w:sz w:val="32"/>
          <w:szCs w:val="32"/>
          <w:lang w:val="zh-TW" w:eastAsia="zh-TW"/>
        </w:rPr>
        <w:t>药品监督管理部门根据《药品检查综合评定报告书》及相关证据材料，作出相应处理。</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pPr>
        <w:pStyle w:val="6"/>
        <w:spacing w:before="0" w:beforeAutospacing="0" w:after="0" w:afterAutospacing="0" w:line="620" w:lineRule="exact"/>
        <w:ind w:firstLine="640" w:firstLineChars="200"/>
        <w:jc w:val="both"/>
        <w:rPr>
          <w:rFonts w:eastAsia="仿宋_GB2312"/>
          <w:sz w:val="32"/>
          <w:szCs w:val="32"/>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pStyle w:val="6"/>
        <w:spacing w:before="0" w:beforeAutospacing="0" w:after="0" w:afterAutospacing="0" w:line="620" w:lineRule="exact"/>
        <w:ind w:firstLine="640" w:firstLineChars="200"/>
        <w:jc w:val="both"/>
        <w:rPr>
          <w:rFonts w:hint="eastAsia" w:eastAsia="仿宋_GB2312"/>
          <w:sz w:val="28"/>
          <w:szCs w:val="28"/>
        </w:rPr>
      </w:pPr>
      <w:r>
        <w:rPr>
          <w:rFonts w:eastAsia="仿宋_GB2312"/>
          <w:sz w:val="32"/>
          <w:szCs w:val="32"/>
        </w:rPr>
        <w:t>“</w:t>
      </w:r>
      <w:r>
        <w:rPr>
          <w:rFonts w:eastAsia="仿宋_GB2312"/>
          <w:sz w:val="32"/>
          <w:szCs w:val="32"/>
          <w:lang w:val="zh-TW"/>
        </w:rPr>
        <w:t>药品监督管理部门应当将现场检查报告、整改报告、《药品检查综合评定报告书》及相关证据材料、风险控制措施相关资料等进行整理归档保存。</w:t>
      </w:r>
      <w:r>
        <w:rPr>
          <w:rFonts w:eastAsia="仿宋_GB2312"/>
          <w:sz w:val="32"/>
          <w:szCs w:val="32"/>
        </w:rPr>
        <w:t xml:space="preserve">” </w:t>
      </w: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067435" cy="230505"/>
                      </a:xfrm>
                      <a:prstGeom prst="rect">
                        <a:avLst/>
                      </a:prstGeom>
                      <a:noFill/>
                      <a:ln>
                        <a:noFill/>
                      </a:ln>
                    </wps:spPr>
                    <wps:txbx>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7216;mso-width-relative:page;mso-height-relative:page;" filled="f" stroked="f" coordsize="21600,21600" o:gfxdata="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&#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So3O0QAAAAQBAAAPAAAAAAAAAAEAIAAAADgAAABk&#10;cnMvZG93bnJldi54bWxQSwECFAAUAAAACACHTuJA9TNmBfcBAADCAwAADgAAAAAAAAABACAAAAA2&#10;AQAAZHJzL2Uyb0RvYy54bWxQSwUGAAAAAAYABgBZAQAAnwUAAAAA&#10;">
              <v:fill on="f" focussize="0,0"/>
              <v:stroke on="f"/>
              <v:imagedata o:title=""/>
              <o:lock v:ext="edit" aspectratio="f"/>
              <v:textbox inset="0mm,0mm,0mm,0mm" style="mso-fit-shape-to-text:t;">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1067435" cy="230505"/>
                      </a:xfrm>
                      <a:prstGeom prst="rect">
                        <a:avLst/>
                      </a:prstGeom>
                      <a:noFill/>
                      <a:ln>
                        <a:noFill/>
                      </a:ln>
                    </wps:spPr>
                    <wps:txbx>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&#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So3O0QAAAAQBAAAPAAAAAAAAAAEAIAAAADgAAABk&#10;cnMvZG93bnJldi54bWxQSwECFAAUAAAACACHTuJA91ZGlfcBAADCAwAADgAAAAAAAAABACAAAAA2&#10;AQAAZHJzL2Uyb0RvYy54bWxQSwUGAAAAAAYABgBZAQAAnwUAAAAA&#10;">
              <v:fill on="f" focussize="0,0"/>
              <v:stroke on="f"/>
              <v:imagedata o:title=""/>
              <o:lock v:ext="edit" aspectratio="f"/>
              <v:textbox inset="0mm,0mm,0mm,0mm" style="mso-fit-shape-to-text:t;">
                <w:txbxContent>
                  <w:p>
                    <w:pPr>
                      <w:pStyle w:val="4"/>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7F957"/>
    <w:multiLevelType w:val="singleLevel"/>
    <w:tmpl w:val="AAD7F957"/>
    <w:lvl w:ilvl="0" w:tentative="0">
      <w:start w:val="1"/>
      <w:numFmt w:val="chineseCounting"/>
      <w:suff w:val="nothing"/>
      <w:lvlText w:val="%1、"/>
      <w:lvlJc w:val="left"/>
      <w:rPr>
        <w:rFonts w:hint="eastAsia"/>
      </w:rPr>
    </w:lvl>
  </w:abstractNum>
  <w:abstractNum w:abstractNumId="1">
    <w:nsid w:val="B97EA43D"/>
    <w:multiLevelType w:val="singleLevel"/>
    <w:tmpl w:val="B97EA43D"/>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1D76"/>
    <w:rsid w:val="0036326B"/>
    <w:rsid w:val="00365874"/>
    <w:rsid w:val="00381E57"/>
    <w:rsid w:val="0039075A"/>
    <w:rsid w:val="003937F0"/>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36B78"/>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5F3698"/>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6D50D3"/>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338</Words>
  <Characters>1931</Characters>
  <Lines>16</Lines>
  <Paragraphs>4</Paragraphs>
  <TotalTime>3</TotalTime>
  <ScaleCrop>false</ScaleCrop>
  <LinksUpToDate>false</LinksUpToDate>
  <CharactersWithSpaces>2265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2023-07-21T09:25:00Z</dcterms:created>
  <dc:creator>Xtzj.User</dc:creator>
  <cp:lastModifiedBy>yjj</cp:lastModifiedBy>
  <cp:lastPrinted>2023-07-22T01:10:00Z</cp:lastPrinted>
  <dcterms:modified xsi:type="dcterms:W3CDTF">2023-12-29T10:50:10Z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F854365A0BFF0291E8FFB86421534EBC</vt:lpwstr>
  </property>
</Properties>
</file>