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57" w:type="dxa"/>
          <w:left w:w="28" w:type="dxa"/>
          <w:bottom w:w="57" w:type="dxa"/>
          <w:right w:w="28" w:type="dxa"/>
        </w:tblCellMar>
      </w:tblPr>
      <w:tblGrid>
        <w:gridCol w:w="909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57" w:type="dxa"/>
            <w:left w:w="28" w:type="dxa"/>
            <w:bottom w:w="57" w:type="dxa"/>
            <w:right w:w="28" w:type="dxa"/>
          </w:tblCellMar>
        </w:tblPrEx>
        <w:trPr>
          <w:trHeight w:val="13456" w:hRule="atLeast"/>
          <w:jc w:val="center"/>
        </w:trPr>
        <w:tc>
          <w:tcPr>
            <w:tcW w:w="9096" w:type="dxa"/>
            <w:tcBorders>
              <w:bottom w:val="single" w:color="000000" w:sz="12" w:space="0"/>
            </w:tcBorders>
          </w:tcPr>
          <w:p>
            <w:pPr>
              <w:jc w:val="both"/>
              <w:rPr>
                <w:spacing w:val="10"/>
                <w:sz w:val="28"/>
                <w:szCs w:val="28"/>
              </w:rPr>
            </w:pPr>
          </w:p>
          <w:p>
            <w:pPr>
              <w:topLinePunct/>
              <w:adjustRightInd w:val="0"/>
              <w:snapToGrid w:val="0"/>
              <w:spacing w:line="680" w:lineRule="exact"/>
              <w:ind w:left="12" w:leftChars="-6" w:right="-24" w:rightChars="-10" w:hanging="26" w:hangingChars="5"/>
              <w:jc w:val="center"/>
              <w:textAlignment w:val="center"/>
              <w:rPr>
                <w:rFonts w:eastAsia="方正小标宋简体"/>
                <w:sz w:val="52"/>
                <w:szCs w:val="52"/>
              </w:rPr>
            </w:pPr>
          </w:p>
          <w:p>
            <w:pPr>
              <w:topLinePunct/>
              <w:adjustRightInd w:val="0"/>
              <w:snapToGrid w:val="0"/>
              <w:spacing w:line="680" w:lineRule="exact"/>
              <w:ind w:right="-24" w:rightChars="-10"/>
              <w:textAlignment w:val="center"/>
              <w:rPr>
                <w:rFonts w:eastAsia="方正小标宋简体"/>
                <w:b/>
                <w:sz w:val="52"/>
                <w:szCs w:val="52"/>
              </w:rPr>
            </w:pPr>
          </w:p>
          <w:p>
            <w:pPr>
              <w:topLinePunct/>
              <w:adjustRightInd w:val="0"/>
              <w:snapToGrid w:val="0"/>
              <w:spacing w:line="680" w:lineRule="exact"/>
              <w:ind w:right="-24" w:rightChars="-10"/>
              <w:textAlignment w:val="center"/>
              <w:rPr>
                <w:rFonts w:asciiTheme="majorEastAsia" w:hAnsiTheme="majorEastAsia" w:eastAsiaTheme="majorEastAsia" w:cstheme="majorEastAsia"/>
                <w:b/>
                <w:sz w:val="52"/>
                <w:szCs w:val="52"/>
              </w:rPr>
            </w:pPr>
          </w:p>
          <w:p>
            <w:pPr>
              <w:topLinePunct/>
              <w:jc w:val="center"/>
              <w:textAlignment w:val="center"/>
              <w:rPr>
                <w:rFonts w:asciiTheme="majorEastAsia" w:hAnsiTheme="majorEastAsia" w:eastAsiaTheme="majorEastAsia" w:cstheme="majorEastAsia"/>
                <w:b/>
                <w:bCs/>
                <w:kern w:val="2"/>
                <w:sz w:val="44"/>
                <w:szCs w:val="36"/>
                <w:lang w:val="en"/>
              </w:rPr>
            </w:pPr>
            <w:r>
              <w:rPr>
                <w:rFonts w:hint="eastAsia" w:asciiTheme="majorEastAsia" w:hAnsiTheme="majorEastAsia" w:eastAsiaTheme="majorEastAsia" w:cstheme="majorEastAsia"/>
                <w:b/>
                <w:bCs/>
                <w:kern w:val="2"/>
                <w:sz w:val="44"/>
                <w:szCs w:val="36"/>
                <w:lang w:val="en"/>
              </w:rPr>
              <w:t>黄山市屯溪区横江徐村段治理工程</w:t>
            </w:r>
          </w:p>
          <w:p>
            <w:pPr>
              <w:topLinePunct/>
              <w:jc w:val="center"/>
              <w:textAlignment w:val="center"/>
              <w:rPr>
                <w:rFonts w:asciiTheme="majorEastAsia" w:hAnsiTheme="majorEastAsia" w:eastAsiaTheme="majorEastAsia" w:cstheme="majorEastAsia"/>
                <w:b/>
                <w:bCs/>
                <w:snapToGrid w:val="0"/>
                <w:sz w:val="36"/>
                <w:szCs w:val="36"/>
                <w:u w:color="000000"/>
                <w:lang w:val="en"/>
              </w:rPr>
            </w:pPr>
            <w:r>
              <w:rPr>
                <w:rFonts w:hint="eastAsia" w:asciiTheme="majorEastAsia" w:hAnsiTheme="majorEastAsia" w:eastAsiaTheme="majorEastAsia" w:cstheme="majorEastAsia"/>
                <w:b/>
                <w:bCs/>
                <w:kern w:val="2"/>
                <w:sz w:val="44"/>
                <w:szCs w:val="36"/>
                <w:lang w:val="en"/>
              </w:rPr>
              <w:t>竣工验收</w:t>
            </w:r>
          </w:p>
          <w:p>
            <w:pPr>
              <w:topLinePunct/>
              <w:jc w:val="center"/>
              <w:textAlignment w:val="center"/>
              <w:rPr>
                <w:rFonts w:asciiTheme="majorEastAsia" w:hAnsiTheme="majorEastAsia" w:eastAsiaTheme="majorEastAsia" w:cstheme="majorEastAsia"/>
                <w:b/>
                <w:bCs/>
                <w:snapToGrid w:val="0"/>
                <w:sz w:val="36"/>
                <w:szCs w:val="36"/>
                <w:u w:color="000000"/>
              </w:rPr>
            </w:pPr>
          </w:p>
          <w:p>
            <w:pPr>
              <w:topLinePunct/>
              <w:jc w:val="center"/>
              <w:textAlignment w:val="center"/>
              <w:rPr>
                <w:rFonts w:asciiTheme="majorEastAsia" w:hAnsiTheme="majorEastAsia" w:eastAsiaTheme="majorEastAsia" w:cstheme="majorEastAsia"/>
                <w:b/>
                <w:bCs/>
                <w:snapToGrid w:val="0"/>
                <w:sz w:val="72"/>
                <w:szCs w:val="52"/>
                <w:u w:color="000000"/>
              </w:rPr>
            </w:pPr>
          </w:p>
          <w:p>
            <w:pPr>
              <w:topLinePunct/>
              <w:jc w:val="center"/>
              <w:textAlignment w:val="center"/>
              <w:rPr>
                <w:rFonts w:asciiTheme="majorEastAsia" w:hAnsiTheme="majorEastAsia" w:eastAsiaTheme="majorEastAsia" w:cstheme="majorEastAsia"/>
                <w:b/>
                <w:bCs/>
                <w:snapToGrid w:val="0"/>
                <w:sz w:val="72"/>
                <w:szCs w:val="52"/>
                <w:u w:color="000000"/>
              </w:rPr>
            </w:pPr>
            <w:r>
              <w:rPr>
                <w:rFonts w:hint="eastAsia" w:asciiTheme="majorEastAsia" w:hAnsiTheme="majorEastAsia" w:eastAsiaTheme="majorEastAsia" w:cstheme="majorEastAsia"/>
                <w:b/>
                <w:bCs/>
                <w:snapToGrid w:val="0"/>
                <w:sz w:val="72"/>
                <w:szCs w:val="52"/>
                <w:u w:color="000000"/>
              </w:rPr>
              <w:t>鉴  定  书</w:t>
            </w:r>
          </w:p>
          <w:p>
            <w:pPr>
              <w:topLinePunct/>
              <w:adjustRightInd w:val="0"/>
              <w:snapToGrid w:val="0"/>
              <w:spacing w:after="624" w:afterLines="200"/>
              <w:ind w:right="-24" w:rightChars="-10"/>
              <w:jc w:val="center"/>
              <w:textAlignment w:val="center"/>
              <w:rPr>
                <w:rFonts w:asciiTheme="majorEastAsia" w:hAnsiTheme="majorEastAsia" w:eastAsiaTheme="majorEastAsia" w:cstheme="majorEastAsia"/>
                <w:b/>
                <w:bCs/>
                <w:szCs w:val="28"/>
              </w:rPr>
            </w:pPr>
          </w:p>
          <w:p>
            <w:pPr>
              <w:topLinePunct/>
              <w:adjustRightInd w:val="0"/>
              <w:snapToGrid w:val="0"/>
              <w:spacing w:after="624" w:afterLines="200" w:line="360" w:lineRule="auto"/>
              <w:ind w:right="-24" w:rightChars="-10"/>
              <w:jc w:val="center"/>
              <w:textAlignment w:val="center"/>
              <w:rPr>
                <w:sz w:val="28"/>
                <w:szCs w:val="28"/>
              </w:rPr>
            </w:pPr>
          </w:p>
          <w:p>
            <w:pPr>
              <w:topLinePunct/>
              <w:adjustRightInd w:val="0"/>
              <w:snapToGrid w:val="0"/>
              <w:spacing w:after="624" w:afterLines="200" w:line="360" w:lineRule="auto"/>
              <w:ind w:right="-24" w:rightChars="-10"/>
              <w:jc w:val="center"/>
              <w:textAlignment w:val="center"/>
              <w:rPr>
                <w:sz w:val="28"/>
                <w:szCs w:val="28"/>
              </w:rPr>
            </w:pPr>
          </w:p>
          <w:p>
            <w:pPr>
              <w:topLinePunct/>
              <w:adjustRightInd w:val="0"/>
              <w:snapToGrid w:val="0"/>
              <w:ind w:right="-24" w:rightChars="-10"/>
              <w:jc w:val="right"/>
              <w:textAlignment w:val="center"/>
              <w:rPr>
                <w:bCs/>
                <w:snapToGrid w:val="0"/>
                <w:sz w:val="32"/>
                <w:szCs w:val="32"/>
                <w:u w:color="000000"/>
              </w:rPr>
            </w:pPr>
          </w:p>
          <w:p>
            <w:pPr>
              <w:topLinePunct/>
              <w:jc w:val="center"/>
              <w:textAlignment w:val="center"/>
              <w:rPr>
                <w:rFonts w:hint="eastAsia" w:ascii="仿宋_GB2312" w:hAnsi="仿宋_GB2312" w:eastAsia="仿宋_GB2312" w:cs="仿宋_GB2312"/>
                <w:b/>
                <w:snapToGrid w:val="0"/>
                <w:kern w:val="2"/>
                <w:sz w:val="32"/>
                <w:szCs w:val="32"/>
                <w:u w:color="000000"/>
              </w:rPr>
            </w:pPr>
            <w:r>
              <w:rPr>
                <w:rFonts w:hint="eastAsia" w:ascii="仿宋_GB2312" w:hAnsi="仿宋_GB2312" w:eastAsia="仿宋_GB2312" w:cs="仿宋_GB2312"/>
                <w:b/>
                <w:snapToGrid w:val="0"/>
                <w:kern w:val="2"/>
                <w:sz w:val="32"/>
                <w:szCs w:val="32"/>
                <w:u w:color="000000"/>
                <w:lang w:val="en"/>
              </w:rPr>
              <w:t>黄山市屯溪区横江徐村段治理工程</w:t>
            </w:r>
            <w:r>
              <w:rPr>
                <w:rFonts w:hint="eastAsia" w:ascii="仿宋_GB2312" w:hAnsi="仿宋_GB2312" w:eastAsia="仿宋_GB2312" w:cs="仿宋_GB2312"/>
                <w:b/>
                <w:snapToGrid w:val="0"/>
                <w:kern w:val="2"/>
                <w:sz w:val="32"/>
                <w:szCs w:val="32"/>
                <w:u w:color="000000"/>
              </w:rPr>
              <w:t>竣工</w:t>
            </w:r>
            <w:r>
              <w:rPr>
                <w:rFonts w:hint="eastAsia" w:ascii="仿宋_GB2312" w:hAnsi="仿宋_GB2312" w:eastAsia="仿宋_GB2312" w:cs="仿宋_GB2312"/>
                <w:b/>
                <w:snapToGrid w:val="0"/>
                <w:kern w:val="2"/>
                <w:sz w:val="32"/>
                <w:szCs w:val="32"/>
                <w:u w:color="000000"/>
                <w:lang w:val="en"/>
              </w:rPr>
              <w:t>验收</w:t>
            </w:r>
            <w:r>
              <w:rPr>
                <w:rFonts w:hint="eastAsia" w:ascii="仿宋_GB2312" w:hAnsi="仿宋_GB2312" w:eastAsia="仿宋_GB2312" w:cs="仿宋_GB2312"/>
                <w:b/>
                <w:snapToGrid w:val="0"/>
                <w:kern w:val="2"/>
                <w:sz w:val="32"/>
                <w:szCs w:val="32"/>
                <w:u w:color="000000"/>
              </w:rPr>
              <w:t>委员会</w:t>
            </w:r>
          </w:p>
          <w:p>
            <w:pPr>
              <w:topLinePunct/>
              <w:adjustRightInd w:val="0"/>
              <w:snapToGrid w:val="0"/>
              <w:jc w:val="right"/>
              <w:textAlignment w:val="center"/>
              <w:rPr>
                <w:rFonts w:hint="eastAsia" w:ascii="仿宋_GB2312" w:hAnsi="仿宋_GB2312" w:eastAsia="仿宋_GB2312" w:cs="仿宋_GB2312"/>
                <w:b/>
                <w:snapToGrid w:val="0"/>
                <w:sz w:val="32"/>
                <w:szCs w:val="32"/>
                <w:u w:color="000000"/>
              </w:rPr>
            </w:pPr>
          </w:p>
          <w:p>
            <w:pPr>
              <w:topLinePunct/>
              <w:adjustRightInd w:val="0"/>
              <w:snapToGrid w:val="0"/>
              <w:jc w:val="center"/>
              <w:textAlignment w:val="center"/>
              <w:rPr>
                <w:rFonts w:eastAsia="黑体"/>
                <w:snapToGrid w:val="0"/>
                <w:szCs w:val="28"/>
                <w:u w:color="000000"/>
              </w:rPr>
            </w:pPr>
            <w:r>
              <w:rPr>
                <w:rFonts w:hint="eastAsia" w:ascii="仿宋_GB2312" w:hAnsi="仿宋_GB2312" w:eastAsia="仿宋_GB2312" w:cs="仿宋_GB2312"/>
                <w:b/>
                <w:snapToGrid w:val="0"/>
                <w:sz w:val="32"/>
                <w:szCs w:val="32"/>
                <w:u w:color="000000"/>
              </w:rPr>
              <w:t>2024年1月19日</w:t>
            </w:r>
          </w:p>
        </w:tc>
      </w:tr>
    </w:tbl>
    <w:p>
      <w:pPr>
        <w:wordWrap w:val="0"/>
        <w:topLinePunct/>
        <w:adjustRightInd w:val="0"/>
        <w:snapToGrid w:val="0"/>
        <w:spacing w:line="360" w:lineRule="auto"/>
        <w:ind w:right="-722" w:rightChars="-301"/>
        <w:textAlignment w:val="center"/>
        <w:rPr>
          <w:rFonts w:eastAsia="黑体"/>
          <w:b/>
          <w:snapToGrid w:val="0"/>
          <w:sz w:val="18"/>
          <w:u w:color="000000"/>
        </w:rPr>
      </w:pPr>
    </w:p>
    <w:tbl>
      <w:tblPr>
        <w:tblStyle w:val="12"/>
        <w:tblW w:w="9118"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57" w:type="dxa"/>
          <w:left w:w="28" w:type="dxa"/>
          <w:bottom w:w="57" w:type="dxa"/>
          <w:right w:w="28" w:type="dxa"/>
        </w:tblCellMar>
      </w:tblPr>
      <w:tblGrid>
        <w:gridCol w:w="911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57" w:type="dxa"/>
            <w:left w:w="28" w:type="dxa"/>
            <w:bottom w:w="57" w:type="dxa"/>
            <w:right w:w="28" w:type="dxa"/>
          </w:tblCellMar>
        </w:tblPrEx>
        <w:trPr>
          <w:trHeight w:val="13369" w:hRule="atLeast"/>
          <w:jc w:val="center"/>
        </w:trPr>
        <w:tc>
          <w:tcPr>
            <w:tcW w:w="9118" w:type="dxa"/>
          </w:tcPr>
          <w:p>
            <w:pPr>
              <w:keepNext w:val="0"/>
              <w:keepLines w:val="0"/>
              <w:pageBreakBefore w:val="0"/>
              <w:widowControl/>
              <w:kinsoku/>
              <w:wordWrap/>
              <w:overflowPunct/>
              <w:topLinePunct w:val="0"/>
              <w:autoSpaceDE/>
              <w:autoSpaceDN/>
              <w:bidi w:val="0"/>
              <w:spacing w:line="56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前 言</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水利水电建设工程验收规程》（SL223-2008）、安徽省水利厅《转发水利部关于加强中小河流治理项目验收管理的指导意见》（皖水基函〔2014〕955号）等相关文件规定要求，2024年1月19日，黄山市水利局会同屯溪区人民政府在屯溪组织召开了</w:t>
            </w:r>
            <w:r>
              <w:rPr>
                <w:rFonts w:hint="eastAsia" w:ascii="仿宋_GB2312" w:hAnsi="仿宋_GB2312" w:eastAsia="仿宋_GB2312" w:cs="仿宋_GB2312"/>
                <w:sz w:val="32"/>
                <w:szCs w:val="32"/>
                <w:lang w:val="en"/>
              </w:rPr>
              <w:t>黄山市屯溪区横江徐村段治理工程</w:t>
            </w:r>
            <w:r>
              <w:rPr>
                <w:rFonts w:hint="eastAsia" w:ascii="仿宋_GB2312" w:hAnsi="仿宋_GB2312" w:eastAsia="仿宋_GB2312" w:cs="仿宋_GB2312"/>
                <w:sz w:val="32"/>
                <w:szCs w:val="32"/>
              </w:rPr>
              <w:t>竣工验收会议。参加会议的有：屯溪区财政局、</w:t>
            </w:r>
            <w:r>
              <w:rPr>
                <w:rFonts w:hint="eastAsia" w:ascii="仿宋_GB2312" w:eastAsia="仿宋_GB2312"/>
                <w:sz w:val="32"/>
                <w:szCs w:val="32"/>
              </w:rPr>
              <w:t>水利局、</w:t>
            </w:r>
            <w:r>
              <w:rPr>
                <w:rFonts w:hint="eastAsia" w:ascii="仿宋_GB2312" w:hAnsi="仿宋" w:eastAsia="仿宋_GB2312"/>
                <w:sz w:val="32"/>
                <w:szCs w:val="32"/>
              </w:rPr>
              <w:t>水利工程质量监督中心</w:t>
            </w:r>
            <w:r>
              <w:rPr>
                <w:rFonts w:hint="eastAsia" w:ascii="仿宋_GB2312" w:hAnsi="仿宋_GB2312" w:eastAsia="仿宋_GB2312" w:cs="仿宋_GB2312"/>
                <w:sz w:val="32"/>
                <w:szCs w:val="32"/>
              </w:rPr>
              <w:t>、黎阳镇人民政府、奕棋镇人民政府等单位的领导及专家。项目法人和各参建单位的代表参加会议。</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会议组成了</w:t>
            </w:r>
            <w:r>
              <w:rPr>
                <w:rFonts w:hint="eastAsia" w:ascii="仿宋_GB2312" w:hAnsi="仿宋_GB2312" w:eastAsia="仿宋_GB2312" w:cs="仿宋_GB2312"/>
                <w:sz w:val="32"/>
                <w:szCs w:val="32"/>
                <w:lang w:val="en"/>
              </w:rPr>
              <w:t>黄山市屯溪区横江徐村段治理工程</w:t>
            </w:r>
            <w:r>
              <w:rPr>
                <w:rFonts w:hint="eastAsia" w:ascii="仿宋_GB2312" w:hAnsi="仿宋_GB2312" w:eastAsia="仿宋_GB2312" w:cs="仿宋_GB2312"/>
                <w:sz w:val="32"/>
                <w:szCs w:val="32"/>
              </w:rPr>
              <w:t>竣工验收委员会（成员名单附后）。竣工验收委员会成员会前实地查验了工程现场、查阅了工程档案资料，会上听取了项目法人、各参建单位及运行管理单位的相关工作报告，对有关问题提出处理意见，讨论并形成本鉴定书。</w:t>
            </w:r>
          </w:p>
          <w:p>
            <w:pPr>
              <w:keepNext w:val="0"/>
              <w:keepLines w:val="0"/>
              <w:pageBreakBefore w:val="0"/>
              <w:widowControl/>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一、工程设计和完成情况</w:t>
            </w:r>
          </w:p>
          <w:p>
            <w:pPr>
              <w:keepNext w:val="0"/>
              <w:keepLines w:val="0"/>
              <w:pageBreakBefore w:val="0"/>
              <w:widowControl/>
              <w:kinsoku/>
              <w:wordWrap/>
              <w:overflowPunct/>
              <w:topLinePunct w:val="0"/>
              <w:autoSpaceDE/>
              <w:autoSpaceDN/>
              <w:bidi w:val="0"/>
              <w:spacing w:line="560" w:lineRule="exact"/>
              <w:ind w:firstLine="481" w:firstLineChars="1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（一）工程名称及位置</w:t>
            </w:r>
          </w:p>
          <w:p>
            <w:pPr>
              <w:keepNext w:val="0"/>
              <w:keepLines w:val="0"/>
              <w:pageBreakBefore w:val="0"/>
              <w:widowControl/>
              <w:kinsoku/>
              <w:wordWrap/>
              <w:overflowPunct/>
              <w:topLinePunct w:val="0"/>
              <w:autoSpaceDE/>
              <w:autoSpaceDN/>
              <w:bidi w:val="0"/>
              <w:spacing w:line="560" w:lineRule="exact"/>
              <w:ind w:left="2238" w:leftChars="266" w:hanging="1600" w:hangingChars="500"/>
              <w:jc w:val="both"/>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工程名称：</w:t>
            </w:r>
            <w:r>
              <w:rPr>
                <w:rFonts w:hint="eastAsia" w:ascii="仿宋_GB2312" w:hAnsi="仿宋_GB2312" w:eastAsia="仿宋_GB2312" w:cs="仿宋_GB2312"/>
                <w:sz w:val="32"/>
                <w:szCs w:val="32"/>
                <w:lang w:val="en"/>
              </w:rPr>
              <w:t>黄山市屯溪区横江徐村段治理工程</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工程位置：屯溪区黎阳镇、奕棋镇</w:t>
            </w:r>
          </w:p>
          <w:p>
            <w:pPr>
              <w:keepNext w:val="0"/>
              <w:keepLines w:val="0"/>
              <w:pageBreakBefore w:val="0"/>
              <w:widowControl/>
              <w:kinsoku/>
              <w:wordWrap/>
              <w:overflowPunct/>
              <w:topLinePunct w:val="0"/>
              <w:autoSpaceDE/>
              <w:autoSpaceDN/>
              <w:bidi w:val="0"/>
              <w:spacing w:line="560" w:lineRule="exact"/>
              <w:ind w:firstLine="481" w:firstLineChars="1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（二）工程主要任务和作用</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 w:eastAsia="仿宋_GB2312" w:cs="仿宋"/>
                <w:sz w:val="32"/>
                <w:szCs w:val="32"/>
                <w:lang w:val="zh-CN"/>
              </w:rPr>
            </w:pPr>
            <w:r>
              <w:rPr>
                <w:rFonts w:hint="eastAsia" w:ascii="仿宋_GB2312" w:hAnsi="仿宋_GB2312" w:eastAsia="仿宋_GB2312" w:cs="仿宋_GB2312"/>
                <w:sz w:val="32"/>
                <w:szCs w:val="32"/>
              </w:rPr>
              <w:t>1、主要任务：</w:t>
            </w:r>
            <w:r>
              <w:rPr>
                <w:rFonts w:hint="eastAsia" w:ascii="仿宋_GB2312" w:hAnsi="仿宋" w:eastAsia="仿宋_GB2312" w:cs="仿宋"/>
                <w:sz w:val="32"/>
                <w:szCs w:val="32"/>
                <w:lang w:val="zh-CN"/>
              </w:rPr>
              <w:t>河道治理长度</w:t>
            </w:r>
            <w:r>
              <w:rPr>
                <w:rFonts w:hint="eastAsia" w:ascii="仿宋_GB2312" w:hAnsi="仿宋" w:eastAsia="仿宋_GB2312" w:cs="仿宋"/>
                <w:sz w:val="32"/>
                <w:szCs w:val="32"/>
              </w:rPr>
              <w:t>5.8</w:t>
            </w:r>
            <w:r>
              <w:rPr>
                <w:rFonts w:hint="eastAsia" w:ascii="仿宋_GB2312" w:hAnsi="仿宋" w:eastAsia="仿宋_GB2312" w:cs="仿宋"/>
                <w:sz w:val="32"/>
                <w:szCs w:val="32"/>
                <w:lang w:val="zh-CN"/>
              </w:rPr>
              <w:t>km。通过实施护岸工程、防汛道路工程和穿堤建筑物工程等。</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2、主要作用：</w:t>
            </w:r>
            <w:r>
              <w:rPr>
                <w:rFonts w:hint="eastAsia" w:ascii="仿宋_GB2312" w:hAnsi="仿宋" w:eastAsia="仿宋_GB2312" w:cs="仿宋"/>
                <w:sz w:val="32"/>
                <w:szCs w:val="32"/>
                <w:lang w:val="zh-CN"/>
              </w:rPr>
              <w:t>提高该河段防洪能力，提升奕棋镇及黎阳镇防洪减灾能力</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60" w:lineRule="exact"/>
              <w:ind w:firstLine="481" w:firstLineChars="1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（三）工程设计主要内容</w:t>
            </w:r>
          </w:p>
          <w:p>
            <w:pPr>
              <w:keepNext w:val="0"/>
              <w:keepLines w:val="0"/>
              <w:pageBreakBefore w:val="0"/>
              <w:widowControl/>
              <w:kinsoku/>
              <w:wordWrap/>
              <w:overflowPunct/>
              <w:topLinePunct w:val="0"/>
              <w:autoSpaceDE/>
              <w:autoSpaceDN/>
              <w:bidi w:val="0"/>
              <w:spacing w:line="560" w:lineRule="exact"/>
              <w:ind w:left="89" w:leftChars="37"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1、工程立项、设计批复文件</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FF0000"/>
                <w:sz w:val="32"/>
                <w:szCs w:val="32"/>
              </w:rPr>
            </w:pPr>
            <w:r>
              <w:rPr>
                <w:rFonts w:hint="eastAsia" w:ascii="仿宋_GB2312" w:hAnsi="仿宋" w:eastAsia="仿宋_GB2312"/>
                <w:sz w:val="32"/>
                <w:szCs w:val="32"/>
              </w:rPr>
              <w:t>2021年7月5日,黄山市水利局以《关于黄山市屯溪区横江徐村段治理工程初步设计的批复》（黄水审批</w:t>
            </w:r>
            <w:r>
              <w:rPr>
                <w:rFonts w:hint="eastAsia" w:ascii="仿宋_GB2312" w:hAnsi="仿宋_GB2312" w:eastAsia="仿宋_GB2312" w:cs="仿宋_GB2312"/>
                <w:sz w:val="32"/>
                <w:szCs w:val="32"/>
              </w:rPr>
              <w:t>〔202</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w:t>
            </w:r>
            <w:r>
              <w:rPr>
                <w:rFonts w:hint="eastAsia" w:ascii="仿宋_GB2312" w:hAnsi="仿宋" w:eastAsia="仿宋_GB2312"/>
                <w:sz w:val="32"/>
                <w:szCs w:val="32"/>
              </w:rPr>
              <w:t>22号）文件对初步设计进行批复。</w:t>
            </w:r>
            <w:r>
              <w:rPr>
                <w:rFonts w:hint="eastAsia" w:ascii="仿宋_GB2312" w:hAnsi="仿宋_GB2312" w:eastAsia="仿宋_GB2312" w:cs="仿宋_GB2312"/>
                <w:sz w:val="32"/>
                <w:szCs w:val="32"/>
              </w:rPr>
              <w:t>核定工程总投资</w:t>
            </w:r>
            <w:r>
              <w:rPr>
                <w:rFonts w:ascii="仿宋_GB2312" w:hAnsi="仿宋_GB2312" w:eastAsia="仿宋_GB2312" w:cs="仿宋_GB2312"/>
                <w:sz w:val="32"/>
                <w:szCs w:val="32"/>
                <w:lang w:val="en"/>
              </w:rPr>
              <w:t>2950</w:t>
            </w:r>
            <w:r>
              <w:rPr>
                <w:rFonts w:hint="eastAsia" w:ascii="仿宋_GB2312" w:hAnsi="仿宋_GB2312" w:eastAsia="仿宋_GB2312" w:cs="仿宋_GB2312"/>
                <w:sz w:val="32"/>
                <w:szCs w:val="32"/>
              </w:rPr>
              <w:t>万元（不含征地移民补偿投资）。</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设计标准、规模</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横江居民区段防洪标准采用50年一遇，农田段维持现状，</w:t>
            </w:r>
            <w:r>
              <w:rPr>
                <w:rFonts w:hint="eastAsia" w:ascii="仿宋_GB2312" w:hAnsi="仿宋" w:eastAsia="仿宋_GB2312" w:cs="仿宋"/>
                <w:sz w:val="32"/>
                <w:szCs w:val="32"/>
                <w:lang w:val="zh-CN"/>
              </w:rPr>
              <w:t>排水涵</w:t>
            </w:r>
            <w:r>
              <w:rPr>
                <w:rFonts w:hint="eastAsia" w:ascii="仿宋_GB2312" w:hAnsi="仿宋" w:eastAsia="仿宋_GB2312" w:cs="仿宋"/>
                <w:sz w:val="32"/>
                <w:szCs w:val="32"/>
              </w:rPr>
              <w:t>排水标准取 10 年一遇。工程等别为Ⅱ等，主要建筑物级别为 2 级，次要建筑物级别为 3 级</w:t>
            </w:r>
            <w:r>
              <w:rPr>
                <w:rFonts w:hint="eastAsia" w:ascii="仿宋_GB2312" w:hAnsi="仿宋" w:eastAsia="仿宋_GB2312" w:cs="仿宋"/>
                <w:sz w:val="32"/>
                <w:szCs w:val="32"/>
                <w:lang w:val="zh-CN"/>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3、主要建设内容及建设工期</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1"/>
              <w:rPr>
                <w:rFonts w:ascii="仿宋_GB2312" w:eastAsia="仿宋_GB2312"/>
                <w:sz w:val="32"/>
                <w:szCs w:val="32"/>
              </w:rPr>
            </w:pPr>
            <w:r>
              <w:rPr>
                <w:rFonts w:hint="eastAsia" w:ascii="仿宋_GB2312" w:eastAsia="仿宋_GB2312"/>
                <w:sz w:val="32"/>
                <w:szCs w:val="32"/>
              </w:rPr>
              <w:t>根据初设批复，护岸工程约2979m，防汛道路1163m，新建下河埠头4座，排水涵1座，排水管1处，水生态修复1项。</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1"/>
              <w:rPr>
                <w:rFonts w:ascii="仿宋_GB2312" w:eastAsia="仿宋_GB2312"/>
                <w:sz w:val="32"/>
                <w:szCs w:val="32"/>
              </w:rPr>
            </w:pPr>
            <w:r>
              <w:rPr>
                <w:rFonts w:hint="eastAsia" w:ascii="仿宋_GB2312" w:eastAsia="仿宋_GB2312"/>
                <w:sz w:val="32"/>
                <w:szCs w:val="32"/>
              </w:rPr>
              <w:t>计划建设工期180日历天。</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4、工程投资及来源</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jc w:val="both"/>
              <w:textAlignment w:val="auto"/>
              <w:rPr>
                <w:rFonts w:ascii="仿宋_GB2312" w:hAnsi="仿宋" w:eastAsia="仿宋_GB2312"/>
                <w:sz w:val="32"/>
                <w:szCs w:val="32"/>
              </w:rPr>
            </w:pPr>
            <w:r>
              <w:rPr>
                <w:rFonts w:hint="eastAsia" w:ascii="仿宋_GB2312" w:hAnsi="仿宋" w:eastAsia="仿宋_GB2312"/>
                <w:sz w:val="32"/>
                <w:szCs w:val="32"/>
              </w:rPr>
              <w:t>初设批复概算总投资3301.4万元，其中工程部分投资2950万元，征地移民补偿投资351.4万元。</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jc w:val="both"/>
              <w:textAlignment w:val="auto"/>
              <w:rPr>
                <w:sz w:val="32"/>
                <w:szCs w:val="32"/>
              </w:rPr>
            </w:pPr>
            <w:r>
              <w:rPr>
                <w:rFonts w:hint="eastAsia" w:ascii="仿宋_GB2312" w:eastAsia="仿宋_GB2312"/>
                <w:sz w:val="32"/>
                <w:szCs w:val="32"/>
              </w:rPr>
              <w:t>建设资金分别由中央投资、省级投资和区级投资组成。中央到位资金1268.5万元，省级到位资金590万元，区级财政到位资金1091.5万元。</w:t>
            </w:r>
          </w:p>
          <w:p>
            <w:pPr>
              <w:keepNext w:val="0"/>
              <w:keepLines w:val="0"/>
              <w:pageBreakBefore w:val="0"/>
              <w:widowControl/>
              <w:numPr>
                <w:ilvl w:val="0"/>
                <w:numId w:val="2"/>
              </w:numPr>
              <w:kinsoku/>
              <w:wordWrap/>
              <w:overflowPunct/>
              <w:topLinePunct w:val="0"/>
              <w:autoSpaceDE/>
              <w:autoSpaceDN/>
              <w:bidi w:val="0"/>
              <w:spacing w:line="560" w:lineRule="exact"/>
              <w:ind w:firstLine="803" w:firstLineChars="2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工程建设有关单位</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建设单位：屯溪区河道整治工程建设管理处</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设计单位：浙江省水利水电勘测设计院有限责任公司</w:t>
            </w:r>
          </w:p>
          <w:p>
            <w:pPr>
              <w:keepNext w:val="0"/>
              <w:keepLines w:val="0"/>
              <w:pageBreakBefore w:val="0"/>
              <w:widowControl/>
              <w:kinsoku/>
              <w:wordWrap/>
              <w:overflowPunct/>
              <w:topLinePunct w:val="0"/>
              <w:autoSpaceDE/>
              <w:autoSpaceDN/>
              <w:bidi w:val="0"/>
              <w:spacing w:line="56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（原</w:t>
            </w:r>
            <w:r>
              <w:rPr>
                <w:rFonts w:ascii="仿宋_GB2312" w:hAnsi="仿宋_GB2312" w:eastAsia="仿宋_GB2312" w:cs="仿宋_GB2312"/>
                <w:sz w:val="32"/>
                <w:szCs w:val="32"/>
              </w:rPr>
              <w:t>浙江省水利水电勘测设计院</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监理单位：安徽省禹顺水利工程管理有限公司</w:t>
            </w:r>
          </w:p>
          <w:p>
            <w:pPr>
              <w:keepNext w:val="0"/>
              <w:keepLines w:val="0"/>
              <w:pageBreakBefore w:val="0"/>
              <w:widowControl/>
              <w:kinsoku/>
              <w:wordWrap/>
              <w:overflowPunct/>
              <w:topLinePunct w:val="0"/>
              <w:autoSpaceDE/>
              <w:autoSpaceDN/>
              <w:bidi w:val="0"/>
              <w:spacing w:line="56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（原安徽省水利水电工程建设监理中心）</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施工单位：界首市水利水电建筑安装有限公司</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质量和安全监督机构：屯溪区水利工程质量监督中心</w:t>
            </w:r>
          </w:p>
          <w:p>
            <w:pPr>
              <w:keepNext w:val="0"/>
              <w:keepLines w:val="0"/>
              <w:pageBreakBefore w:val="0"/>
              <w:widowControl/>
              <w:kinsoku/>
              <w:wordWrap/>
              <w:overflowPunct/>
              <w:topLinePunct w:val="0"/>
              <w:autoSpaceDE/>
              <w:autoSpaceDN/>
              <w:bidi w:val="0"/>
              <w:spacing w:line="560" w:lineRule="exact"/>
              <w:ind w:firstLine="3840" w:firstLineChars="1200"/>
              <w:jc w:val="both"/>
              <w:textAlignment w:val="auto"/>
              <w:rPr>
                <w:rFonts w:ascii="仿宋_GB2312" w:hAnsi="仿宋_GB2312" w:eastAsia="仿宋_GB2312" w:cs="仿宋_GB2312"/>
                <w:sz w:val="32"/>
                <w:szCs w:val="32"/>
              </w:rPr>
            </w:pPr>
            <w:bookmarkStart w:id="0" w:name="_GoBack"/>
            <w:bookmarkEnd w:id="0"/>
            <w:r>
              <w:rPr>
                <w:rFonts w:ascii="仿宋_GB2312" w:hAnsi="仿宋_GB2312" w:eastAsia="仿宋_GB2312" w:cs="仿宋_GB2312"/>
                <w:sz w:val="32"/>
                <w:szCs w:val="32"/>
              </w:rPr>
              <w:t>屯溪区水利局</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运行管理单位：黎阳镇人民政府、奕棋镇人民政府</w:t>
            </w:r>
          </w:p>
          <w:p>
            <w:pPr>
              <w:keepNext w:val="0"/>
              <w:keepLines w:val="0"/>
              <w:pageBreakBefore w:val="0"/>
              <w:widowControl/>
              <w:kinsoku/>
              <w:wordWrap/>
              <w:overflowPunct/>
              <w:topLinePunct w:val="0"/>
              <w:autoSpaceDE/>
              <w:autoSpaceDN/>
              <w:bidi w:val="0"/>
              <w:spacing w:line="560" w:lineRule="exact"/>
              <w:ind w:firstLine="481" w:firstLineChars="1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（五）工程施工过程</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1、主要工程开工和完工日期</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本工程于2021年10月25日正式开工，2022年11月30日通过了合同工程完工验收。</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具体分部工程开完工时间如下：</w:t>
            </w:r>
          </w:p>
          <w:tbl>
            <w:tblPr>
              <w:tblStyle w:val="12"/>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45"/>
              <w:gridCol w:w="1455"/>
              <w:gridCol w:w="158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spacing w:line="600" w:lineRule="auto"/>
                    <w:rPr>
                      <w:rFonts w:ascii="仿宋" w:hAnsi="仿宋" w:eastAsia="仿宋"/>
                    </w:rPr>
                  </w:pPr>
                  <w:r>
                    <w:rPr>
                      <w:rFonts w:hint="eastAsia" w:ascii="仿宋" w:hAnsi="仿宋" w:eastAsia="仿宋"/>
                    </w:rPr>
                    <w:t>编号</w:t>
                  </w:r>
                </w:p>
              </w:tc>
              <w:tc>
                <w:tcPr>
                  <w:tcW w:w="2345" w:type="dxa"/>
                  <w:vAlign w:val="center"/>
                </w:tcPr>
                <w:p>
                  <w:pPr>
                    <w:spacing w:line="600" w:lineRule="auto"/>
                    <w:rPr>
                      <w:rFonts w:ascii="仿宋" w:hAnsi="仿宋" w:eastAsia="仿宋"/>
                    </w:rPr>
                  </w:pPr>
                  <w:r>
                    <w:rPr>
                      <w:rFonts w:hint="eastAsia" w:ascii="仿宋" w:hAnsi="仿宋" w:eastAsia="仿宋"/>
                    </w:rPr>
                    <w:t>分部工程名称</w:t>
                  </w:r>
                </w:p>
              </w:tc>
              <w:tc>
                <w:tcPr>
                  <w:tcW w:w="1455" w:type="dxa"/>
                  <w:vAlign w:val="center"/>
                </w:tcPr>
                <w:p>
                  <w:pPr>
                    <w:spacing w:line="600" w:lineRule="auto"/>
                    <w:rPr>
                      <w:rFonts w:ascii="仿宋" w:hAnsi="仿宋" w:eastAsia="仿宋"/>
                    </w:rPr>
                  </w:pPr>
                  <w:r>
                    <w:rPr>
                      <w:rFonts w:hint="eastAsia" w:ascii="仿宋" w:hAnsi="仿宋" w:eastAsia="仿宋"/>
                    </w:rPr>
                    <w:t>开工时间</w:t>
                  </w:r>
                </w:p>
              </w:tc>
              <w:tc>
                <w:tcPr>
                  <w:tcW w:w="1580" w:type="dxa"/>
                  <w:vAlign w:val="center"/>
                </w:tcPr>
                <w:p>
                  <w:pPr>
                    <w:spacing w:line="600" w:lineRule="auto"/>
                    <w:rPr>
                      <w:rFonts w:ascii="仿宋" w:hAnsi="仿宋" w:eastAsia="仿宋"/>
                    </w:rPr>
                  </w:pPr>
                  <w:r>
                    <w:rPr>
                      <w:rFonts w:hint="eastAsia" w:ascii="仿宋" w:hAnsi="仿宋" w:eastAsia="仿宋"/>
                    </w:rPr>
                    <w:t>完工时间</w:t>
                  </w:r>
                </w:p>
              </w:tc>
              <w:tc>
                <w:tcPr>
                  <w:tcW w:w="1440" w:type="dxa"/>
                  <w:vAlign w:val="center"/>
                </w:tcPr>
                <w:p>
                  <w:pPr>
                    <w:spacing w:line="600" w:lineRule="auto"/>
                    <w:rPr>
                      <w:rFonts w:ascii="仿宋" w:hAnsi="仿宋" w:eastAsia="仿宋"/>
                    </w:rPr>
                  </w:pPr>
                  <w:r>
                    <w:rPr>
                      <w:rFonts w:hint="eastAsia" w:ascii="仿宋" w:hAnsi="仿宋" w:eastAsia="仿宋"/>
                    </w:rPr>
                    <w:t>验收时间</w:t>
                  </w:r>
                </w:p>
              </w:tc>
              <w:tc>
                <w:tcPr>
                  <w:tcW w:w="1260" w:type="dxa"/>
                  <w:vAlign w:val="center"/>
                </w:tcPr>
                <w:p>
                  <w:pPr>
                    <w:spacing w:line="600" w:lineRule="auto"/>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spacing w:line="600" w:lineRule="auto"/>
                    <w:jc w:val="center"/>
                    <w:rPr>
                      <w:rFonts w:ascii="仿宋" w:hAnsi="仿宋" w:eastAsia="仿宋"/>
                    </w:rPr>
                  </w:pPr>
                  <w:r>
                    <w:rPr>
                      <w:rFonts w:hint="eastAsia" w:ascii="仿宋_GB2312" w:hAnsi="仿宋_GB2312" w:eastAsia="仿宋_GB2312" w:cs="仿宋_GB2312"/>
                    </w:rPr>
                    <w:t>1</w:t>
                  </w:r>
                </w:p>
              </w:tc>
              <w:tc>
                <w:tcPr>
                  <w:tcW w:w="2345" w:type="dxa"/>
                  <w:vAlign w:val="center"/>
                </w:tcPr>
                <w:p>
                  <w:pPr>
                    <w:spacing w:line="600" w:lineRule="auto"/>
                    <w:jc w:val="center"/>
                    <w:rPr>
                      <w:rFonts w:ascii="仿宋" w:hAnsi="仿宋" w:eastAsia="仿宋"/>
                    </w:rPr>
                  </w:pPr>
                  <w:r>
                    <w:rPr>
                      <w:rFonts w:hint="eastAsia" w:ascii="仿宋_GB2312" w:hAnsi="仿宋_GB2312" w:eastAsia="仿宋_GB2312" w:cs="仿宋_GB2312"/>
                    </w:rPr>
                    <w:t>堤防护岸工程</w:t>
                  </w:r>
                </w:p>
              </w:tc>
              <w:tc>
                <w:tcPr>
                  <w:tcW w:w="1455" w:type="dxa"/>
                  <w:vAlign w:val="center"/>
                </w:tcPr>
                <w:p>
                  <w:pPr>
                    <w:spacing w:line="600" w:lineRule="auto"/>
                    <w:jc w:val="center"/>
                    <w:rPr>
                      <w:rFonts w:ascii="仿宋" w:hAnsi="仿宋" w:eastAsia="仿宋"/>
                    </w:rPr>
                  </w:pPr>
                  <w:r>
                    <w:rPr>
                      <w:rFonts w:hint="eastAsia" w:ascii="仿宋_GB2312" w:hAnsi="仿宋_GB2312" w:eastAsia="仿宋_GB2312" w:cs="仿宋_GB2312"/>
                    </w:rPr>
                    <w:t>2021.10.25</w:t>
                  </w:r>
                </w:p>
              </w:tc>
              <w:tc>
                <w:tcPr>
                  <w:tcW w:w="1580" w:type="dxa"/>
                  <w:vAlign w:val="center"/>
                </w:tcPr>
                <w:p>
                  <w:pPr>
                    <w:spacing w:line="600" w:lineRule="auto"/>
                    <w:jc w:val="center"/>
                    <w:rPr>
                      <w:rFonts w:ascii="仿宋" w:hAnsi="仿宋" w:eastAsia="仿宋"/>
                    </w:rPr>
                  </w:pPr>
                  <w:r>
                    <w:rPr>
                      <w:rFonts w:hint="eastAsia" w:ascii="仿宋_GB2312" w:hAnsi="仿宋_GB2312" w:eastAsia="仿宋_GB2312" w:cs="仿宋_GB2312"/>
                    </w:rPr>
                    <w:t>2022.7.4</w:t>
                  </w:r>
                </w:p>
              </w:tc>
              <w:tc>
                <w:tcPr>
                  <w:tcW w:w="1440" w:type="dxa"/>
                  <w:vAlign w:val="center"/>
                </w:tcPr>
                <w:p>
                  <w:pPr>
                    <w:spacing w:line="600" w:lineRule="auto"/>
                    <w:jc w:val="center"/>
                    <w:rPr>
                      <w:rFonts w:ascii="仿宋" w:hAnsi="仿宋" w:eastAsia="仿宋_GB2312"/>
                    </w:rPr>
                  </w:pPr>
                  <w:r>
                    <w:rPr>
                      <w:rFonts w:hint="eastAsia" w:ascii="仿宋_GB2312" w:hAnsi="仿宋_GB2312" w:eastAsia="仿宋_GB2312" w:cs="仿宋_GB2312"/>
                    </w:rPr>
                    <w:t>2022.11.28</w:t>
                  </w:r>
                </w:p>
              </w:tc>
              <w:tc>
                <w:tcPr>
                  <w:tcW w:w="1260" w:type="dxa"/>
                  <w:vAlign w:val="center"/>
                </w:tcPr>
                <w:p>
                  <w:pPr>
                    <w:spacing w:line="6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spacing w:line="600" w:lineRule="auto"/>
                    <w:jc w:val="center"/>
                    <w:rPr>
                      <w:rFonts w:ascii="仿宋" w:hAnsi="仿宋" w:eastAsia="仿宋"/>
                    </w:rPr>
                  </w:pPr>
                  <w:r>
                    <w:rPr>
                      <w:rFonts w:hint="eastAsia" w:ascii="仿宋_GB2312" w:hAnsi="仿宋_GB2312" w:eastAsia="仿宋_GB2312" w:cs="仿宋_GB2312"/>
                    </w:rPr>
                    <w:t>2</w:t>
                  </w:r>
                </w:p>
              </w:tc>
              <w:tc>
                <w:tcPr>
                  <w:tcW w:w="2345" w:type="dxa"/>
                  <w:vAlign w:val="center"/>
                </w:tcPr>
                <w:p>
                  <w:pPr>
                    <w:spacing w:line="600" w:lineRule="auto"/>
                    <w:jc w:val="center"/>
                    <w:rPr>
                      <w:rFonts w:ascii="仿宋" w:hAnsi="仿宋" w:eastAsia="仿宋"/>
                    </w:rPr>
                  </w:pPr>
                  <w:r>
                    <w:rPr>
                      <w:rFonts w:hint="eastAsia" w:ascii="仿宋_GB2312" w:hAnsi="仿宋_GB2312" w:eastAsia="仿宋_GB2312" w:cs="仿宋_GB2312"/>
                    </w:rPr>
                    <w:t>道路工程</w:t>
                  </w:r>
                </w:p>
              </w:tc>
              <w:tc>
                <w:tcPr>
                  <w:tcW w:w="1455" w:type="dxa"/>
                  <w:vAlign w:val="center"/>
                </w:tcPr>
                <w:p>
                  <w:pPr>
                    <w:spacing w:line="600" w:lineRule="auto"/>
                    <w:jc w:val="center"/>
                    <w:rPr>
                      <w:rFonts w:ascii="仿宋" w:hAnsi="仿宋" w:eastAsia="仿宋"/>
                    </w:rPr>
                  </w:pPr>
                  <w:r>
                    <w:rPr>
                      <w:rFonts w:hint="eastAsia" w:ascii="仿宋_GB2312" w:hAnsi="仿宋_GB2312" w:eastAsia="仿宋_GB2312" w:cs="仿宋_GB2312"/>
                    </w:rPr>
                    <w:t>2022.01.16</w:t>
                  </w:r>
                </w:p>
              </w:tc>
              <w:tc>
                <w:tcPr>
                  <w:tcW w:w="1580" w:type="dxa"/>
                  <w:vAlign w:val="center"/>
                </w:tcPr>
                <w:p>
                  <w:pPr>
                    <w:spacing w:line="600" w:lineRule="auto"/>
                    <w:jc w:val="center"/>
                    <w:rPr>
                      <w:rFonts w:ascii="仿宋" w:hAnsi="仿宋" w:eastAsia="仿宋"/>
                    </w:rPr>
                  </w:pPr>
                  <w:r>
                    <w:rPr>
                      <w:rFonts w:hint="eastAsia" w:ascii="仿宋_GB2312" w:hAnsi="仿宋_GB2312" w:eastAsia="仿宋_GB2312" w:cs="仿宋_GB2312"/>
                    </w:rPr>
                    <w:t>2022.01.27</w:t>
                  </w:r>
                </w:p>
              </w:tc>
              <w:tc>
                <w:tcPr>
                  <w:tcW w:w="1440" w:type="dxa"/>
                  <w:vAlign w:val="center"/>
                </w:tcPr>
                <w:p>
                  <w:pPr>
                    <w:spacing w:line="600" w:lineRule="auto"/>
                    <w:jc w:val="center"/>
                    <w:rPr>
                      <w:rFonts w:ascii="仿宋" w:hAnsi="仿宋" w:eastAsia="仿宋"/>
                    </w:rPr>
                  </w:pPr>
                  <w:r>
                    <w:rPr>
                      <w:rFonts w:hint="eastAsia" w:ascii="仿宋_GB2312" w:hAnsi="仿宋_GB2312" w:eastAsia="仿宋_GB2312" w:cs="仿宋_GB2312"/>
                    </w:rPr>
                    <w:t>2022.11.28</w:t>
                  </w:r>
                </w:p>
              </w:tc>
              <w:tc>
                <w:tcPr>
                  <w:tcW w:w="1260" w:type="dxa"/>
                  <w:vAlign w:val="center"/>
                </w:tcPr>
                <w:p>
                  <w:pPr>
                    <w:spacing w:line="6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6" w:type="dxa"/>
                  <w:vAlign w:val="center"/>
                </w:tcPr>
                <w:p>
                  <w:pPr>
                    <w:spacing w:line="600" w:lineRule="auto"/>
                    <w:jc w:val="center"/>
                    <w:rPr>
                      <w:rFonts w:ascii="仿宋" w:hAnsi="仿宋" w:eastAsia="仿宋"/>
                    </w:rPr>
                  </w:pPr>
                  <w:r>
                    <w:rPr>
                      <w:rFonts w:hint="eastAsia" w:ascii="仿宋_GB2312" w:hAnsi="仿宋_GB2312" w:eastAsia="仿宋_GB2312" w:cs="仿宋_GB2312"/>
                    </w:rPr>
                    <w:t>3</w:t>
                  </w:r>
                </w:p>
              </w:tc>
              <w:tc>
                <w:tcPr>
                  <w:tcW w:w="2345" w:type="dxa"/>
                  <w:vAlign w:val="center"/>
                </w:tcPr>
                <w:p>
                  <w:pPr>
                    <w:spacing w:line="600" w:lineRule="auto"/>
                    <w:jc w:val="center"/>
                    <w:rPr>
                      <w:rFonts w:ascii="仿宋" w:hAnsi="仿宋" w:eastAsia="仿宋"/>
                    </w:rPr>
                  </w:pPr>
                  <w:r>
                    <w:rPr>
                      <w:rFonts w:hint="eastAsia" w:ascii="仿宋_GB2312" w:hAnsi="仿宋_GB2312" w:eastAsia="仿宋_GB2312" w:cs="仿宋_GB2312"/>
                    </w:rPr>
                    <w:t>园建工程</w:t>
                  </w:r>
                </w:p>
              </w:tc>
              <w:tc>
                <w:tcPr>
                  <w:tcW w:w="1455" w:type="dxa"/>
                  <w:vAlign w:val="center"/>
                </w:tcPr>
                <w:p>
                  <w:pPr>
                    <w:spacing w:line="600" w:lineRule="auto"/>
                    <w:jc w:val="center"/>
                    <w:rPr>
                      <w:rFonts w:ascii="仿宋" w:hAnsi="仿宋" w:eastAsia="仿宋"/>
                    </w:rPr>
                  </w:pPr>
                  <w:r>
                    <w:rPr>
                      <w:rFonts w:hint="eastAsia" w:ascii="仿宋_GB2312" w:hAnsi="仿宋_GB2312" w:eastAsia="仿宋_GB2312" w:cs="仿宋_GB2312"/>
                    </w:rPr>
                    <w:t>2022.7.28</w:t>
                  </w:r>
                </w:p>
              </w:tc>
              <w:tc>
                <w:tcPr>
                  <w:tcW w:w="1580" w:type="dxa"/>
                  <w:vAlign w:val="center"/>
                </w:tcPr>
                <w:p>
                  <w:pPr>
                    <w:spacing w:line="600" w:lineRule="auto"/>
                    <w:jc w:val="center"/>
                    <w:rPr>
                      <w:rFonts w:ascii="仿宋" w:hAnsi="仿宋" w:eastAsia="仿宋_GB2312"/>
                    </w:rPr>
                  </w:pPr>
                  <w:r>
                    <w:rPr>
                      <w:rFonts w:hint="eastAsia" w:ascii="仿宋_GB2312" w:hAnsi="仿宋_GB2312" w:eastAsia="仿宋_GB2312" w:cs="仿宋_GB2312"/>
                    </w:rPr>
                    <w:t>2022.10.24</w:t>
                  </w:r>
                </w:p>
              </w:tc>
              <w:tc>
                <w:tcPr>
                  <w:tcW w:w="1440" w:type="dxa"/>
                  <w:vAlign w:val="center"/>
                </w:tcPr>
                <w:p>
                  <w:pPr>
                    <w:spacing w:line="600" w:lineRule="auto"/>
                    <w:jc w:val="center"/>
                    <w:rPr>
                      <w:rFonts w:ascii="仿宋" w:hAnsi="仿宋" w:eastAsia="仿宋"/>
                    </w:rPr>
                  </w:pPr>
                  <w:r>
                    <w:rPr>
                      <w:rFonts w:hint="eastAsia" w:ascii="仿宋_GB2312" w:hAnsi="仿宋_GB2312" w:eastAsia="仿宋_GB2312" w:cs="仿宋_GB2312"/>
                    </w:rPr>
                    <w:t>2022.11.28</w:t>
                  </w:r>
                </w:p>
              </w:tc>
              <w:tc>
                <w:tcPr>
                  <w:tcW w:w="1260" w:type="dxa"/>
                  <w:vAlign w:val="center"/>
                </w:tcPr>
                <w:p>
                  <w:pPr>
                    <w:spacing w:line="600" w:lineRule="auto"/>
                    <w:jc w:val="center"/>
                    <w:rPr>
                      <w:rFonts w:ascii="仿宋" w:hAnsi="仿宋" w:eastAsia="仿宋"/>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2、重大设计变更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3、重大技术问题及处理情况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803" w:firstLineChars="25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工程完成情况及主要工程量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工程已按批复设计内容全部完成。主要设计工程量与实际完成工程量见下表。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主要工程量对比表</w:t>
            </w:r>
          </w:p>
          <w:tbl>
            <w:tblPr>
              <w:tblStyle w:val="12"/>
              <w:tblW w:w="4823" w:type="pc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3"/>
              <w:gridCol w:w="892"/>
              <w:gridCol w:w="2014"/>
              <w:gridCol w:w="191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序号</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项目名称</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单位</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批准初设工程量</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ind w:right="-130" w:rightChars="-54"/>
                    <w:rPr>
                      <w:rFonts w:ascii="仿宋_GB2312" w:hAnsi="仿宋_GB2312" w:eastAsia="仿宋_GB2312" w:cs="仿宋_GB2312"/>
                    </w:rPr>
                  </w:pPr>
                  <w:r>
                    <w:rPr>
                      <w:rFonts w:hint="eastAsia" w:ascii="仿宋_GB2312" w:hAnsi="仿宋_GB2312" w:eastAsia="仿宋_GB2312" w:cs="仿宋_GB2312"/>
                    </w:rPr>
                    <w:t>实际完成工程量</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增减原因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土石方开挖</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3</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5.00</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4.06</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现场地形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土方回填</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vertAlign w:val="superscript"/>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3</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6.26</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2.68</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现场地形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ind w:right="-29" w:rightChars="-12"/>
                    <w:jc w:val="center"/>
                    <w:rPr>
                      <w:rFonts w:ascii="仿宋_GB2312" w:hAnsi="仿宋_GB2312" w:eastAsia="仿宋_GB2312" w:cs="仿宋_GB2312"/>
                    </w:rPr>
                  </w:pPr>
                  <w:r>
                    <w:rPr>
                      <w:rFonts w:hint="eastAsia" w:ascii="仿宋_GB2312" w:hAnsi="仿宋_GB2312" w:eastAsia="仿宋_GB2312" w:cs="仿宋_GB2312"/>
                    </w:rPr>
                    <w:t>碎石垫层</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2</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0.52</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0.48</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ind w:right="-29" w:rightChars="-12"/>
                    <w:jc w:val="center"/>
                    <w:rPr>
                      <w:rFonts w:ascii="仿宋_GB2312" w:hAnsi="仿宋_GB2312" w:eastAsia="仿宋_GB2312" w:cs="仿宋_GB2312"/>
                    </w:rPr>
                  </w:pPr>
                  <w:r>
                    <w:rPr>
                      <w:rFonts w:hint="eastAsia" w:ascii="仿宋_GB2312" w:hAnsi="仿宋_GB2312" w:eastAsia="仿宋_GB2312" w:cs="仿宋_GB2312"/>
                    </w:rPr>
                    <w:t>砼工程</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3</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0.55</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0.48</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M10浆砌石</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3</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1.15</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0.76</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钢筋</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t</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1.2</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6.13</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预制块护坡</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2</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0.07</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0.01</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10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草皮</w:t>
                  </w:r>
                </w:p>
              </w:tc>
              <w:tc>
                <w:tcPr>
                  <w:tcW w:w="51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万m</w:t>
                  </w:r>
                  <w:r>
                    <w:rPr>
                      <w:rFonts w:hint="eastAsia" w:ascii="仿宋_GB2312" w:hAnsi="仿宋_GB2312" w:eastAsia="仿宋_GB2312" w:cs="仿宋_GB2312"/>
                      <w:vertAlign w:val="superscript"/>
                    </w:rPr>
                    <w:t>2</w:t>
                  </w:r>
                </w:p>
              </w:tc>
              <w:tc>
                <w:tcPr>
                  <w:tcW w:w="115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2.40</w:t>
                  </w:r>
                </w:p>
              </w:tc>
              <w:tc>
                <w:tcPr>
                  <w:tcW w:w="109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rPr>
                  </w:pPr>
                  <w:r>
                    <w:rPr>
                      <w:rFonts w:hint="eastAsia" w:ascii="仿宋_GB2312" w:hAnsi="仿宋_GB2312" w:eastAsia="仿宋_GB2312" w:cs="仿宋_GB2312"/>
                    </w:rPr>
                    <w:t>1.29</w:t>
                  </w:r>
                </w:p>
              </w:tc>
              <w:tc>
                <w:tcPr>
                  <w:tcW w:w="80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rPr>
                  </w:pPr>
                  <w:r>
                    <w:rPr>
                      <w:rFonts w:hint="eastAsia" w:ascii="仿宋_GB2312" w:hAnsi="仿宋_GB2312" w:eastAsia="仿宋_GB2312" w:cs="仿宋_GB2312"/>
                    </w:rPr>
                    <w:t>设计变更</w:t>
                  </w:r>
                </w:p>
              </w:tc>
            </w:tr>
          </w:tbl>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（七）征地补偿和移民安置</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征地工作分别由黎阳镇人民政府和奕棋镇人民政府负责，征地103亩，总投入334万元。其中：黎阳镇征地45亩，投入178万元；奕棋镇征地58亩，投入156万元。</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本工程无移民安置。</w:t>
            </w:r>
          </w:p>
          <w:p>
            <w:pPr>
              <w:pageBreakBefore w:val="0"/>
              <w:widowControl/>
              <w:numPr>
                <w:ilvl w:val="0"/>
                <w:numId w:val="3"/>
              </w:numPr>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水土保持设施和环境保护工程</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编制黄山市屯溪区横江徐村段治理工程水土保持方案报告书，屯溪区水利局以《关于屯溪区横江徐村段治理工程水土保持方案的批复》（屯水保〔2021〕6号）批复。</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程主体设置了挡墙、草皮护坡、临时施工道路、场地平整、散播草籽进行植被恢复等。施工过程中，委托第三方进行水土保持监测。在项目完工验收后竣工验收前，屯溪区河道整治工程建设管理处于2023年1月6日组织水土保持设施验收工作，形成水土保持设施验收鉴定书并公告。</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编制黄山市屯溪区横江徐村段治理工程项目环境影响报告表，市生态环境局以《关于黄山市屯溪区水利局黄山市屯溪区横江徐村段治理工程环境影响报告表的批复》（黄环建函[2023]5号）批复。</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施工期间做到文明施工，及时清理道路上的抛撒物，施工场地保持卫生清洁，生活垃圾按居民区要求同等处理，建公厕设化粪池，避免生活污水直接排入河道；机械施工避开居民休息时间。</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二、工程验收和鉴定情况</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（一）单位工程验收</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本项目于</w:t>
            </w:r>
            <w:r>
              <w:rPr>
                <w:rFonts w:hint="eastAsia" w:ascii="仿宋_GB2312" w:hAnsi="仿宋_GB2312" w:eastAsia="仿宋_GB2312" w:cs="仿宋_GB2312"/>
                <w:kern w:val="2"/>
                <w:sz w:val="32"/>
                <w:szCs w:val="32"/>
              </w:rPr>
              <w:t>2022年11月30日</w:t>
            </w:r>
            <w:r>
              <w:rPr>
                <w:rFonts w:hint="eastAsia" w:ascii="仿宋_GB2312" w:hAnsi="仿宋_GB2312" w:eastAsia="仿宋_GB2312" w:cs="仿宋_GB2312"/>
                <w:sz w:val="32"/>
                <w:szCs w:val="32"/>
              </w:rPr>
              <w:t>完成了1个单位（合同）工程验收，经施工单位自评，监理单位复核，建管处认定，监督中心核备，1个单位（合同）工程，3个分部工程质量等级全部合格。</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（二）阶段验收</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（三）专项验收</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1、2023年1月6日，屯溪区河道整治工程建设管理处主持召开屯溪区横江徐村段治理工程项目水土保持设施验收会。</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2、2023年8月，黄山远星环境技术有限公司编制完成屯溪区横江徐村段治理工程建设项目竣工环境保护验收报告。</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3、2023年12月27日，黄山市水利局组织召开屯溪区横江徐村段治理工程档案专项验收会议。</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(四)竣工验收技术鉴定</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无。</w:t>
            </w:r>
          </w:p>
          <w:p>
            <w:pPr>
              <w:pageBreakBefore w:val="0"/>
              <w:widowControl/>
              <w:numPr>
                <w:ilvl w:val="0"/>
                <w:numId w:val="4"/>
              </w:numPr>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历次验收及相关鉴定提出的主要问题的处理情况</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四、工程质量</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（一）工程质量监督</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屯溪区河道整治工程建设管理处于2021年10月8日，在屯溪区水利工程质量监督中心办理了质量监督手续，签订了《水利工程质量监督书》，屯溪区水利工程质量监督中心配备了项目质量监督人员，对各参建单位进行工程质量管理行为及实体工程质量进行监督检查。</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（二）工程项目划分</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根据屯溪区水利工程质量监督中心批复，本工程划分为1个单位工程、5个分部工程、578个单元工程（其中19个重要隐蔽单元工程）。</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施工现场实际情况和设计变更情况，经我处与监理单位、设计单位、施工单位商议，黄山市屯溪区横江徐村段治理工程项目划分调整为1个单位工程，3个分部工程，383个单元工程（其中21个重要隐蔽单元工程）。</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（三）工程质量抽检</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建管处委托黄山市科元工程质量检测有限责任公司对本工程进行竣工检测，工程质量全过程检测单位提交的竣工检测报告，确定本合同工程质量：满足设计及规范要求。</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（四）工程质量评定</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本工程共1个单位工程、3个分部工程、383个单元工程经施工单位自评、监理单位复核、建设单位认定、质量监督核备评定工程质量等级为优良，外观质量优良。</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五、概算执行情况</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（一）投资计划下达及资金到位</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投资计划共下达2950万元，其中：中央资金1268.5万元，省水利基建资金590万元，区财政配套资金1091.5万元。</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工程资金到位情况：中央资金1268.5万元，省水利基建资金590万元，区财政配套资金</w:t>
            </w:r>
            <w:r>
              <w:rPr>
                <w:rFonts w:hint="eastAsia" w:ascii="仿宋_GB2312" w:hAnsi="仿宋_GB2312" w:eastAsia="仿宋_GB2312" w:cs="仿宋_GB2312"/>
                <w:sz w:val="32"/>
                <w:szCs w:val="32"/>
                <w:lang w:val="en-US" w:eastAsia="zh-CN"/>
              </w:rPr>
              <w:t>1091.5</w:t>
            </w:r>
            <w:r>
              <w:rPr>
                <w:rFonts w:hint="eastAsia" w:ascii="仿宋_GB2312" w:hAnsi="仿宋_GB2312" w:eastAsia="仿宋_GB2312" w:cs="仿宋_GB2312"/>
                <w:sz w:val="32"/>
                <w:szCs w:val="32"/>
              </w:rPr>
              <w:t>万元。</w:t>
            </w:r>
          </w:p>
          <w:p>
            <w:pPr>
              <w:pageBreakBefore w:val="0"/>
              <w:widowControl/>
              <w:numPr>
                <w:ilvl w:val="0"/>
                <w:numId w:val="0"/>
              </w:numPr>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投资完成情况及交付资产</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1、投资完成：根据安徽金泉会计师事务所编制的《黄山市屯溪区横江徐村段治理工程竣工财务决算审计报告》:工程实际完成投资额2063.55万元。</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2、交付资产：固定资产2063.55万元（建筑安装工程投资1398.69万元，待摊投资664.86万元）。</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（三）征地补偿和移民安置资金</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本工程由黎阳镇、奕棋镇人民政府负责征地工作，征地款由区财政承担。本工程建设范围内不涉及移民拆迁。</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（四）结余资金</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结余资金按规定使用。</w:t>
            </w:r>
          </w:p>
          <w:p>
            <w:pPr>
              <w:pageBreakBefore w:val="0"/>
              <w:widowControl/>
              <w:kinsoku/>
              <w:wordWrap/>
              <w:overflowPunct/>
              <w:topLinePunct w:val="0"/>
              <w:bidi w:val="0"/>
              <w:spacing w:line="560" w:lineRule="exact"/>
              <w:ind w:firstLine="481" w:firstLineChars="15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（五）预计未完工程投资及预留费用</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（六）竣工财务决算报告编制及审计</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水利部《水利基本建设项目竣工财务决算编制规程》（SL19-2014）、《国有建设单位会计制度》、财政部《基本建设财务管理规则》（财政部令第81号）等相关文件规定及要求，项目法人分别编制完成了工程竣工财务决算报告。</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安徽金泉会计师事务所对竣工财务决算报告进行了审计，黄山市屯溪区横江徐村段治理工程项目实际完成投资总额为2063.55万元。</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六、工程尾工安排</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七、工程运行管理情况</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（一）管理机构、人员及经费情况</w:t>
            </w:r>
          </w:p>
          <w:p>
            <w:pPr>
              <w:pageBreakBefore w:val="0"/>
              <w:widowControl/>
              <w:kinsoku/>
              <w:wordWrap/>
              <w:overflowPunct/>
              <w:topLinePunct w:val="0"/>
              <w:autoSpaceDE w:val="0"/>
              <w:autoSpaceDN w:val="0"/>
              <w:bidi w:val="0"/>
              <w:adjustRightInd w:val="0"/>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为加强工程建后管护，长期发挥效益，由黎阳镇、奕棋镇人民政府分别成立工程运行管理机构，机构人员和经费由黎阳镇、奕棋镇人民政府分别统筹解决。</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（二）工程移交</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工程竣工验收后将根据属地管理原则办理移交手续，形成固定资产分别移交黎阳镇、奕棋镇人民政府管理。</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八、工程初期运行及效益</w:t>
            </w:r>
          </w:p>
          <w:p>
            <w:pPr>
              <w:pageBreakBefore w:val="0"/>
              <w:widowControl/>
              <w:kinsoku/>
              <w:wordWrap/>
              <w:overflowPunct/>
              <w:topLinePunct w:val="0"/>
              <w:bidi w:val="0"/>
              <w:adjustRightInd w:val="0"/>
              <w:snapToGrid w:val="0"/>
              <w:spacing w:line="560"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初期运行管理</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工程完工至今已经历过一个汛期，工程运行正常，没有出现异常情况。</w:t>
            </w:r>
          </w:p>
          <w:p>
            <w:pPr>
              <w:pStyle w:val="5"/>
              <w:pageBreakBefore w:val="0"/>
              <w:widowControl/>
              <w:kinsoku/>
              <w:wordWrap/>
              <w:overflowPunct/>
              <w:topLinePunct w:val="0"/>
              <w:bidi w:val="0"/>
              <w:adjustRightInd w:val="0"/>
              <w:snapToGrid w:val="0"/>
              <w:spacing w:line="560" w:lineRule="exact"/>
              <w:ind w:firstLine="643"/>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（二）初期运行效益</w:t>
            </w:r>
          </w:p>
          <w:p>
            <w:pPr>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工程实施后提高了防洪标准，有效减免了洪灾损失，保护两岸群众的生命财产安全，同时步道的建设改善了出行环境，水生态修复部分改善了当地人居环境，改善了生态景观，具有显著的经济、社会及环境效益。</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九、意见和建议</w:t>
            </w:r>
          </w:p>
          <w:p>
            <w:pPr>
              <w:pStyle w:val="11"/>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建议运管单位加强日常巡查及保护，保障工程良好运行。</w:t>
            </w:r>
          </w:p>
          <w:p>
            <w:pPr>
              <w:pageBreakBefore w:val="0"/>
              <w:widowControl/>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十、结论</w:t>
            </w:r>
          </w:p>
          <w:p>
            <w:pPr>
              <w:pStyle w:val="11"/>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该项目已按批复建设内容完成，工程质量</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，财务管理基本规范，竣工决算已通过审计，水保、环保和档案专项验收已通过验收，工程初期运行正常，效益显著。</w:t>
            </w:r>
          </w:p>
          <w:p>
            <w:pPr>
              <w:pStyle w:val="11"/>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竣工验收委员会同意黄山市屯溪区横江徐村段治理工程通过竣工验收。</w:t>
            </w:r>
          </w:p>
          <w:p>
            <w:pPr>
              <w:pageBreakBefore w:val="0"/>
              <w:widowControl/>
              <w:numPr>
                <w:ilvl w:val="0"/>
                <w:numId w:val="5"/>
              </w:numPr>
              <w:kinsoku/>
              <w:wordWrap/>
              <w:overflowPunct/>
              <w:topLinePunct w:val="0"/>
              <w:bidi w:val="0"/>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保留意见（应有本人签字）</w:t>
            </w:r>
          </w:p>
          <w:p>
            <w:pPr>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无。</w:t>
            </w:r>
          </w:p>
          <w:p>
            <w:pPr>
              <w:pStyle w:val="3"/>
              <w:pageBreakBefore w:val="0"/>
              <w:widowControl/>
              <w:numPr>
                <w:ilvl w:val="0"/>
                <w:numId w:val="0"/>
              </w:numPr>
              <w:kinsoku/>
              <w:wordWrap/>
              <w:overflowPunct/>
              <w:topLinePunct w:val="0"/>
              <w:bidi w:val="0"/>
              <w:spacing w:after="0" w:line="560" w:lineRule="exact"/>
              <w:ind w:left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验收委员会成员和被验收单位代表签字表</w:t>
            </w:r>
          </w:p>
          <w:p>
            <w:pPr>
              <w:pStyle w:val="3"/>
              <w:pageBreakBefore w:val="0"/>
              <w:widowControl/>
              <w:numPr>
                <w:ilvl w:val="0"/>
                <w:numId w:val="0"/>
              </w:numPr>
              <w:kinsoku/>
              <w:wordWrap/>
              <w:overflowPunct/>
              <w:topLinePunct w:val="0"/>
              <w:bidi w:val="0"/>
              <w:spacing w:after="0" w:line="560" w:lineRule="exact"/>
              <w:ind w:leftChars="200"/>
              <w:jc w:val="both"/>
              <w:textAlignment w:val="auto"/>
              <w:rPr>
                <w:rFonts w:eastAsia="仿宋_GB2312"/>
                <w:b/>
                <w:snapToGrid w:val="0"/>
                <w:sz w:val="32"/>
                <w:szCs w:val="32"/>
                <w:u w:color="000000"/>
              </w:rPr>
            </w:pPr>
            <w:r>
              <w:rPr>
                <w:rFonts w:hint="eastAsia" w:ascii="仿宋_GB2312" w:hAnsi="仿宋_GB2312" w:eastAsia="仿宋_GB2312" w:cs="仿宋_GB2312"/>
                <w:sz w:val="32"/>
                <w:szCs w:val="32"/>
                <w:lang w:eastAsia="zh-CN"/>
              </w:rPr>
              <w:t>详见附件。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484B6"/>
    <w:multiLevelType w:val="singleLevel"/>
    <w:tmpl w:val="EDE484B6"/>
    <w:lvl w:ilvl="0" w:tentative="0">
      <w:start w:val="11"/>
      <w:numFmt w:val="chineseCounting"/>
      <w:suff w:val="nothing"/>
      <w:lvlText w:val="%1、"/>
      <w:lvlJc w:val="left"/>
      <w:rPr>
        <w:rFonts w:hint="eastAsia"/>
      </w:rPr>
    </w:lvl>
  </w:abstractNum>
  <w:abstractNum w:abstractNumId="1">
    <w:nsid w:val="FFEB28DA"/>
    <w:multiLevelType w:val="singleLevel"/>
    <w:tmpl w:val="FFEB28DA"/>
    <w:lvl w:ilvl="0" w:tentative="0">
      <w:start w:val="4"/>
      <w:numFmt w:val="chineseCounting"/>
      <w:suff w:val="nothing"/>
      <w:lvlText w:val="（%1）"/>
      <w:lvlJc w:val="left"/>
      <w:rPr>
        <w:rFonts w:hint="eastAsia"/>
      </w:rPr>
    </w:lvl>
  </w:abstractNum>
  <w:abstractNum w:abstractNumId="2">
    <w:nsid w:val="20D0A576"/>
    <w:multiLevelType w:val="singleLevel"/>
    <w:tmpl w:val="20D0A576"/>
    <w:lvl w:ilvl="0" w:tentative="0">
      <w:start w:val="2"/>
      <w:numFmt w:val="decimal"/>
      <w:suff w:val="nothing"/>
      <w:lvlText w:val="%1、"/>
      <w:lvlJc w:val="left"/>
    </w:lvl>
  </w:abstractNum>
  <w:abstractNum w:abstractNumId="3">
    <w:nsid w:val="26C93EF6"/>
    <w:multiLevelType w:val="singleLevel"/>
    <w:tmpl w:val="26C93EF6"/>
    <w:lvl w:ilvl="0" w:tentative="0">
      <w:start w:val="8"/>
      <w:numFmt w:val="chineseCounting"/>
      <w:suff w:val="nothing"/>
      <w:lvlText w:val="（%1）"/>
      <w:lvlJc w:val="left"/>
      <w:rPr>
        <w:rFonts w:hint="eastAsia"/>
      </w:rPr>
    </w:lvl>
  </w:abstractNum>
  <w:abstractNum w:abstractNumId="4">
    <w:nsid w:val="4C1EEA5A"/>
    <w:multiLevelType w:val="singleLevel"/>
    <w:tmpl w:val="4C1EEA5A"/>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zJjNWMxYWExZGQxM2QxNzcwNjFiMTRkYTUwNzUifQ=="/>
  </w:docVars>
  <w:rsids>
    <w:rsidRoot w:val="0B244D9F"/>
    <w:rsid w:val="00152DB9"/>
    <w:rsid w:val="00166D4A"/>
    <w:rsid w:val="001D3FDD"/>
    <w:rsid w:val="00257A4D"/>
    <w:rsid w:val="003654E2"/>
    <w:rsid w:val="003C272B"/>
    <w:rsid w:val="004F1A15"/>
    <w:rsid w:val="00507E00"/>
    <w:rsid w:val="005473A3"/>
    <w:rsid w:val="005735D9"/>
    <w:rsid w:val="005F5750"/>
    <w:rsid w:val="00640F54"/>
    <w:rsid w:val="007409F6"/>
    <w:rsid w:val="00754E1D"/>
    <w:rsid w:val="007E6A3D"/>
    <w:rsid w:val="009505BF"/>
    <w:rsid w:val="00951757"/>
    <w:rsid w:val="0099170F"/>
    <w:rsid w:val="00997D12"/>
    <w:rsid w:val="009A61CB"/>
    <w:rsid w:val="00A43256"/>
    <w:rsid w:val="00AB46E8"/>
    <w:rsid w:val="00B26C98"/>
    <w:rsid w:val="00BA3D88"/>
    <w:rsid w:val="00BB190C"/>
    <w:rsid w:val="00C16992"/>
    <w:rsid w:val="00C368D5"/>
    <w:rsid w:val="00C700E2"/>
    <w:rsid w:val="00C8216D"/>
    <w:rsid w:val="00C94F29"/>
    <w:rsid w:val="00CB49B9"/>
    <w:rsid w:val="00D00FE6"/>
    <w:rsid w:val="00D4030C"/>
    <w:rsid w:val="00D435BB"/>
    <w:rsid w:val="00D77BEB"/>
    <w:rsid w:val="00D83AC6"/>
    <w:rsid w:val="00D97FCC"/>
    <w:rsid w:val="00E550B2"/>
    <w:rsid w:val="00F31774"/>
    <w:rsid w:val="0234215E"/>
    <w:rsid w:val="0241402A"/>
    <w:rsid w:val="03214F2B"/>
    <w:rsid w:val="03B14A9C"/>
    <w:rsid w:val="03C4165B"/>
    <w:rsid w:val="052B1528"/>
    <w:rsid w:val="0B244D9F"/>
    <w:rsid w:val="13FA1EE4"/>
    <w:rsid w:val="15B03692"/>
    <w:rsid w:val="177A1D06"/>
    <w:rsid w:val="17FD4448"/>
    <w:rsid w:val="19641DF8"/>
    <w:rsid w:val="1B737AD8"/>
    <w:rsid w:val="1BCFE9DC"/>
    <w:rsid w:val="1D505871"/>
    <w:rsid w:val="1EE83FBF"/>
    <w:rsid w:val="1F062B6F"/>
    <w:rsid w:val="21D44E5A"/>
    <w:rsid w:val="235BB644"/>
    <w:rsid w:val="246E3A74"/>
    <w:rsid w:val="24D418B6"/>
    <w:rsid w:val="24F03425"/>
    <w:rsid w:val="25C628DE"/>
    <w:rsid w:val="26660A68"/>
    <w:rsid w:val="28B144B6"/>
    <w:rsid w:val="2BD7D6BD"/>
    <w:rsid w:val="2D0F059C"/>
    <w:rsid w:val="2F9F01EA"/>
    <w:rsid w:val="2FBA4DA8"/>
    <w:rsid w:val="30830648"/>
    <w:rsid w:val="30C02874"/>
    <w:rsid w:val="35060D4F"/>
    <w:rsid w:val="36B640BB"/>
    <w:rsid w:val="37984133"/>
    <w:rsid w:val="37B2D6C3"/>
    <w:rsid w:val="38883E6E"/>
    <w:rsid w:val="3AF129B3"/>
    <w:rsid w:val="3BFB46BA"/>
    <w:rsid w:val="3DDF0E7C"/>
    <w:rsid w:val="3EFF30C0"/>
    <w:rsid w:val="3FBD050A"/>
    <w:rsid w:val="3FF760D3"/>
    <w:rsid w:val="408410D6"/>
    <w:rsid w:val="42174F8C"/>
    <w:rsid w:val="43B25100"/>
    <w:rsid w:val="4591939F"/>
    <w:rsid w:val="45FF7D63"/>
    <w:rsid w:val="48D0340D"/>
    <w:rsid w:val="49BC3E1B"/>
    <w:rsid w:val="4D7D8CB8"/>
    <w:rsid w:val="4DD0221B"/>
    <w:rsid w:val="4FEE76F2"/>
    <w:rsid w:val="4FF99542"/>
    <w:rsid w:val="51F00770"/>
    <w:rsid w:val="53FB9074"/>
    <w:rsid w:val="57272F4A"/>
    <w:rsid w:val="58982F66"/>
    <w:rsid w:val="596C5196"/>
    <w:rsid w:val="5B844FE0"/>
    <w:rsid w:val="5E7D8561"/>
    <w:rsid w:val="5EEF9194"/>
    <w:rsid w:val="5F7FC139"/>
    <w:rsid w:val="63FD389F"/>
    <w:rsid w:val="64B40D0B"/>
    <w:rsid w:val="67571926"/>
    <w:rsid w:val="67791E05"/>
    <w:rsid w:val="69244AA2"/>
    <w:rsid w:val="6CFF3B3C"/>
    <w:rsid w:val="6F67C3A8"/>
    <w:rsid w:val="72BFC6B2"/>
    <w:rsid w:val="735736A8"/>
    <w:rsid w:val="74FF7851"/>
    <w:rsid w:val="7563359F"/>
    <w:rsid w:val="77051C84"/>
    <w:rsid w:val="7729368E"/>
    <w:rsid w:val="79F75974"/>
    <w:rsid w:val="7AAD420E"/>
    <w:rsid w:val="7AFE6D59"/>
    <w:rsid w:val="7BBADD9F"/>
    <w:rsid w:val="7CFD5473"/>
    <w:rsid w:val="7D282DE9"/>
    <w:rsid w:val="7D5E2E30"/>
    <w:rsid w:val="7F5BC5A7"/>
    <w:rsid w:val="7F5EBB04"/>
    <w:rsid w:val="7F9D9EE1"/>
    <w:rsid w:val="7FFFF9E8"/>
    <w:rsid w:val="939FA49C"/>
    <w:rsid w:val="9D3D3D44"/>
    <w:rsid w:val="9F74A4A8"/>
    <w:rsid w:val="A7FBD72A"/>
    <w:rsid w:val="B5FF28E3"/>
    <w:rsid w:val="BFCF27CC"/>
    <w:rsid w:val="CB2B7BF2"/>
    <w:rsid w:val="CDBFB572"/>
    <w:rsid w:val="D57A2037"/>
    <w:rsid w:val="D5FF34DD"/>
    <w:rsid w:val="D79FD261"/>
    <w:rsid w:val="DB7B5D63"/>
    <w:rsid w:val="DD5EA8A1"/>
    <w:rsid w:val="DEE78750"/>
    <w:rsid w:val="EFFFE484"/>
    <w:rsid w:val="F775780D"/>
    <w:rsid w:val="F7ED21DC"/>
    <w:rsid w:val="FAEACEB5"/>
    <w:rsid w:val="FBB4CDF5"/>
    <w:rsid w:val="FCD10232"/>
    <w:rsid w:val="FCF11365"/>
    <w:rsid w:val="FEEB42F5"/>
    <w:rsid w:val="FFFDDFDD"/>
    <w:rsid w:val="FFFF118A"/>
    <w:rsid w:val="FFFF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2"/>
    <w:basedOn w:val="1"/>
    <w:next w:val="1"/>
    <w:qFormat/>
    <w:uiPriority w:val="0"/>
    <w:pPr>
      <w:keepNext/>
      <w:keepLines/>
      <w:ind w:firstLine="883" w:firstLineChars="200"/>
      <w:outlineLvl w:val="1"/>
    </w:pPr>
    <w:rPr>
      <w:rFonts w:ascii="Arial" w:hAnsi="Arial" w:eastAsia="楷体_GB2312"/>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sz w:val="21"/>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6">
    <w:name w:val="Body Text"/>
    <w:basedOn w:val="1"/>
    <w:next w:val="7"/>
    <w:qFormat/>
    <w:uiPriority w:val="0"/>
    <w:rPr>
      <w:sz w:val="28"/>
    </w:rPr>
  </w:style>
  <w:style w:type="paragraph" w:styleId="7">
    <w:name w:val="toc 2"/>
    <w:basedOn w:val="1"/>
    <w:next w:val="1"/>
    <w:qFormat/>
    <w:uiPriority w:val="0"/>
    <w:pPr>
      <w:ind w:left="420" w:leftChars="200"/>
    </w:pPr>
  </w:style>
  <w:style w:type="paragraph" w:styleId="8">
    <w:name w:val="Balloon Text"/>
    <w:basedOn w:val="1"/>
    <w:link w:val="19"/>
    <w:qFormat/>
    <w:uiPriority w:val="0"/>
    <w:rPr>
      <w:sz w:val="18"/>
      <w:szCs w:val="18"/>
    </w:rPr>
  </w:style>
  <w:style w:type="paragraph" w:styleId="9">
    <w:name w:val="footer"/>
    <w:basedOn w:val="1"/>
    <w:link w:val="17"/>
    <w:qFormat/>
    <w:uiPriority w:val="0"/>
    <w:pPr>
      <w:tabs>
        <w:tab w:val="center" w:pos="4153"/>
        <w:tab w:val="right" w:pos="8306"/>
      </w:tabs>
      <w:snapToGrid w:val="0"/>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ind w:firstLine="420" w:firstLineChars="100"/>
    </w:pPr>
  </w:style>
  <w:style w:type="paragraph" w:customStyle="1" w:styleId="14">
    <w:name w:val="p0"/>
    <w:basedOn w:val="1"/>
    <w:qFormat/>
    <w:uiPriority w:val="0"/>
    <w:rPr>
      <w:szCs w:val="21"/>
    </w:rPr>
  </w:style>
  <w:style w:type="paragraph" w:customStyle="1" w:styleId="15">
    <w:name w:val="表格文字"/>
    <w:basedOn w:val="1"/>
    <w:next w:val="6"/>
    <w:qFormat/>
    <w:uiPriority w:val="0"/>
    <w:pPr>
      <w:snapToGrid w:val="0"/>
      <w:spacing w:before="48" w:beforeLines="20" w:after="48" w:afterLines="20"/>
      <w:jc w:val="center"/>
    </w:pPr>
  </w:style>
  <w:style w:type="character" w:customStyle="1" w:styleId="16">
    <w:name w:val="页眉 Char"/>
    <w:basedOn w:val="13"/>
    <w:link w:val="10"/>
    <w:qFormat/>
    <w:uiPriority w:val="0"/>
    <w:rPr>
      <w:sz w:val="18"/>
      <w:szCs w:val="18"/>
    </w:rPr>
  </w:style>
  <w:style w:type="character" w:customStyle="1" w:styleId="17">
    <w:name w:val="页脚 Char"/>
    <w:basedOn w:val="13"/>
    <w:link w:val="9"/>
    <w:qFormat/>
    <w:uiPriority w:val="0"/>
    <w:rPr>
      <w:sz w:val="18"/>
      <w:szCs w:val="18"/>
    </w:rPr>
  </w:style>
  <w:style w:type="paragraph" w:customStyle="1" w:styleId="18">
    <w:name w:val="Char Char Char"/>
    <w:basedOn w:val="1"/>
    <w:qFormat/>
    <w:uiPriority w:val="0"/>
    <w:pPr>
      <w:spacing w:after="160" w:line="240" w:lineRule="exact"/>
    </w:pPr>
    <w:rPr>
      <w:kern w:val="2"/>
      <w:sz w:val="21"/>
      <w:szCs w:val="22"/>
    </w:rPr>
  </w:style>
  <w:style w:type="character" w:customStyle="1" w:styleId="19">
    <w:name w:val="批注框文本 Char"/>
    <w:basedOn w:val="13"/>
    <w:link w:val="8"/>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631</Words>
  <Characters>3603</Characters>
  <Lines>30</Lines>
  <Paragraphs>8</Paragraphs>
  <TotalTime>224</TotalTime>
  <ScaleCrop>false</ScaleCrop>
  <LinksUpToDate>false</LinksUpToDate>
  <CharactersWithSpaces>4226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2020-12-15T22:24:00Z</dcterms:created>
  <dc:creator>Administrator</dc:creator>
  <cp:lastModifiedBy>greatwall</cp:lastModifiedBy>
  <cp:lastPrinted>2021-01-04T19:09:00Z</cp:lastPrinted>
  <dcterms:modified xsi:type="dcterms:W3CDTF">2024-02-22T17:01:51Z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061A663B295B4B27B1CEBDB8E68F9F21_13</vt:lpwstr>
  </property>
</Properties>
</file>