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宋体" w:cs="宋体"/>
          <w:b/>
          <w:bCs/>
          <w:sz w:val="36"/>
          <w:szCs w:val="24"/>
        </w:rPr>
        <w:id w:val="147480950"/>
        <w:docPartObj>
          <w:docPartGallery w:val="Table of Contents"/>
          <w:docPartUnique/>
        </w:docPartObj>
      </w:sdtPr>
      <w:sdtEndPr>
        <w:rPr>
          <w:rFonts w:hint="eastAsia" w:ascii="仿宋_GB2312" w:hAnsi="仿宋_GB2312" w:eastAsia="仿宋_GB2312" w:cs="仿宋_GB2312"/>
          <w:b/>
          <w:bCs/>
          <w:sz w:val="32"/>
          <w:szCs w:val="32"/>
        </w:rPr>
      </w:sdtEndPr>
      <w:sdtContent>
        <w:p w14:paraId="753C8019">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0" w:firstLineChars="0"/>
            <w:jc w:val="center"/>
            <w:textAlignment w:val="auto"/>
            <w:rPr>
              <w:rFonts w:asciiTheme="majorEastAsia" w:hAnsiTheme="majorEastAsia" w:eastAsiaTheme="majorEastAsia"/>
              <w:b/>
              <w:color w:val="000000" w:themeColor="text1"/>
              <w:kern w:val="0"/>
              <w:sz w:val="56"/>
              <w:szCs w:val="56"/>
              <w14:textFill>
                <w14:solidFill>
                  <w14:schemeClr w14:val="tx1"/>
                </w14:solidFill>
              </w14:textFill>
            </w:rPr>
          </w:pPr>
          <w:r>
            <w:rPr>
              <w:rFonts w:hint="eastAsia" w:asciiTheme="majorEastAsia" w:hAnsiTheme="majorEastAsia" w:eastAsiaTheme="majorEastAsia"/>
              <w:b/>
              <w:color w:val="000000" w:themeColor="text1"/>
              <w:kern w:val="0"/>
              <w:sz w:val="56"/>
              <w:szCs w:val="56"/>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EastAsia" w:hAnsiTheme="majorEastAsia" w:eastAsiaTheme="majorEastAsia"/>
              <w:b/>
              <w:color w:val="000000" w:themeColor="text1"/>
              <w:kern w:val="0"/>
              <w:sz w:val="56"/>
              <w:szCs w:val="56"/>
              <w14:textFill>
                <w14:solidFill>
                  <w14:schemeClr w14:val="tx1"/>
                </w14:solidFill>
              </w14:textFill>
            </w:rPr>
            <w:instrText xml:space="preserve">ADDIN CNKISM.UserStyle</w:instrText>
          </w:r>
          <w:r>
            <w:rPr>
              <w:rFonts w:hint="eastAsia" w:asciiTheme="majorEastAsia" w:hAnsiTheme="majorEastAsia" w:eastAsiaTheme="majorEastAsia"/>
              <w:b/>
              <w:color w:val="000000" w:themeColor="text1"/>
              <w:kern w:val="0"/>
              <w:sz w:val="56"/>
              <w:szCs w:val="56"/>
              <w14:textFill>
                <w14:solidFill>
                  <w14:schemeClr w14:val="tx1"/>
                </w14:solidFill>
              </w14:textFill>
            </w:rPr>
            <w:fldChar w:fldCharType="end"/>
          </w:r>
        </w:p>
        <w:p w14:paraId="058976D2">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0" w:firstLineChars="0"/>
            <w:jc w:val="center"/>
            <w:textAlignment w:val="auto"/>
            <w:rPr>
              <w:rFonts w:hint="eastAsia" w:asciiTheme="majorEastAsia" w:hAnsiTheme="majorEastAsia" w:eastAsiaTheme="majorEastAsia"/>
              <w:b/>
              <w:bCs w:val="0"/>
              <w:color w:val="000000" w:themeColor="text1"/>
              <w:kern w:val="0"/>
              <w:sz w:val="52"/>
              <w:szCs w:val="52"/>
              <w14:textFill>
                <w14:solidFill>
                  <w14:schemeClr w14:val="tx1"/>
                </w14:solidFill>
              </w14:textFill>
            </w:rPr>
          </w:pPr>
        </w:p>
        <w:p w14:paraId="55E74A42">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hint="eastAsia" w:asciiTheme="majorEastAsia" w:hAnsiTheme="majorEastAsia" w:eastAsiaTheme="majorEastAsia"/>
              <w:b/>
              <w:bCs w:val="0"/>
              <w:color w:val="000000" w:themeColor="text1"/>
              <w:kern w:val="0"/>
              <w:sz w:val="52"/>
              <w:szCs w:val="52"/>
              <w14:textFill>
                <w14:solidFill>
                  <w14:schemeClr w14:val="tx1"/>
                </w14:solidFill>
              </w14:textFill>
            </w:rPr>
          </w:pPr>
          <w:r>
            <w:rPr>
              <w:rFonts w:hint="eastAsia" w:asciiTheme="majorEastAsia" w:hAnsiTheme="majorEastAsia" w:eastAsiaTheme="majorEastAsia"/>
              <w:b/>
              <w:bCs w:val="0"/>
              <w:color w:val="000000" w:themeColor="text1"/>
              <w:kern w:val="0"/>
              <w:sz w:val="52"/>
              <w:szCs w:val="52"/>
              <w14:textFill>
                <w14:solidFill>
                  <w14:schemeClr w14:val="tx1"/>
                </w14:solidFill>
              </w14:textFill>
            </w:rPr>
            <w:t>黄山市林业保护发展</w:t>
          </w:r>
        </w:p>
        <w:p w14:paraId="2E1558A3">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asciiTheme="majorEastAsia" w:hAnsiTheme="majorEastAsia" w:eastAsiaTheme="majorEastAsia"/>
              <w:b/>
              <w:bCs w:val="0"/>
              <w:color w:val="000000" w:themeColor="text1"/>
              <w:kern w:val="0"/>
              <w:sz w:val="52"/>
              <w:szCs w:val="52"/>
              <w14:textFill>
                <w14:solidFill>
                  <w14:schemeClr w14:val="tx1"/>
                </w14:solidFill>
              </w14:textFill>
            </w:rPr>
          </w:pPr>
          <w:r>
            <w:rPr>
              <w:rFonts w:hint="eastAsia" w:asciiTheme="majorEastAsia" w:hAnsiTheme="majorEastAsia" w:eastAsiaTheme="majorEastAsia"/>
              <w:b/>
              <w:bCs w:val="0"/>
              <w:color w:val="000000" w:themeColor="text1"/>
              <w:kern w:val="0"/>
              <w:sz w:val="52"/>
              <w:szCs w:val="52"/>
              <w14:textFill>
                <w14:solidFill>
                  <w14:schemeClr w14:val="tx1"/>
                </w14:solidFill>
              </w14:textFill>
            </w:rPr>
            <w:t>“十四五”规划</w:t>
          </w:r>
        </w:p>
        <w:p w14:paraId="75EEF02A">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asciiTheme="majorEastAsia" w:hAnsiTheme="majorEastAsia" w:eastAsiaTheme="majorEastAsia"/>
              <w:b/>
              <w:bCs w:val="0"/>
              <w:color w:val="000000" w:themeColor="text1"/>
              <w:kern w:val="0"/>
              <w:sz w:val="56"/>
              <w:szCs w:val="56"/>
              <w14:textFill>
                <w14:solidFill>
                  <w14:schemeClr w14:val="tx1"/>
                </w14:solidFill>
              </w14:textFill>
            </w:rPr>
          </w:pPr>
        </w:p>
        <w:p w14:paraId="3558043E">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asciiTheme="majorEastAsia" w:hAnsiTheme="majorEastAsia" w:eastAsiaTheme="majorEastAsia"/>
              <w:b/>
              <w:bCs w:val="0"/>
              <w:color w:val="000000" w:themeColor="text1"/>
              <w:kern w:val="0"/>
              <w:sz w:val="56"/>
              <w:szCs w:val="56"/>
              <w14:textFill>
                <w14:solidFill>
                  <w14:schemeClr w14:val="tx1"/>
                </w14:solidFill>
              </w14:textFill>
            </w:rPr>
          </w:pPr>
        </w:p>
        <w:p w14:paraId="0E12E853">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asciiTheme="majorEastAsia" w:hAnsiTheme="majorEastAsia" w:eastAsiaTheme="majorEastAsia"/>
              <w:b/>
              <w:bCs w:val="0"/>
              <w:color w:val="000000" w:themeColor="text1"/>
              <w:kern w:val="0"/>
              <w:sz w:val="56"/>
              <w:szCs w:val="56"/>
              <w14:textFill>
                <w14:solidFill>
                  <w14:schemeClr w14:val="tx1"/>
                </w14:solidFill>
              </w14:textFill>
            </w:rPr>
          </w:pPr>
        </w:p>
        <w:p w14:paraId="501D91A2">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asciiTheme="majorEastAsia" w:hAnsiTheme="majorEastAsia" w:eastAsiaTheme="majorEastAsia"/>
              <w:b/>
              <w:bCs w:val="0"/>
              <w:color w:val="000000" w:themeColor="text1"/>
              <w:kern w:val="0"/>
              <w:sz w:val="56"/>
              <w:szCs w:val="56"/>
              <w14:textFill>
                <w14:solidFill>
                  <w14:schemeClr w14:val="tx1"/>
                </w14:solidFill>
              </w14:textFill>
            </w:rPr>
          </w:pPr>
        </w:p>
        <w:p w14:paraId="15D29F2C">
          <w:pPr>
            <w:pStyle w:val="2"/>
            <w:keepNext w:val="0"/>
            <w:keepLines w:val="0"/>
            <w:pageBreakBefore w:val="0"/>
            <w:widowControl w:val="0"/>
            <w:kinsoku/>
            <w:wordWrap/>
            <w:overflowPunct/>
            <w:topLinePunct w:val="0"/>
            <w:autoSpaceDE/>
            <w:autoSpaceDN/>
            <w:bidi w:val="0"/>
            <w:adjustRightInd/>
            <w:snapToGrid/>
            <w:spacing w:line="700" w:lineRule="exact"/>
            <w:textAlignment w:val="auto"/>
          </w:pPr>
        </w:p>
        <w:p w14:paraId="64BF4E8F">
          <w:pPr>
            <w:pStyle w:val="2"/>
            <w:keepNext w:val="0"/>
            <w:keepLines w:val="0"/>
            <w:pageBreakBefore w:val="0"/>
            <w:widowControl w:val="0"/>
            <w:kinsoku/>
            <w:wordWrap/>
            <w:overflowPunct/>
            <w:topLinePunct w:val="0"/>
            <w:autoSpaceDE/>
            <w:autoSpaceDN/>
            <w:bidi w:val="0"/>
            <w:adjustRightInd/>
            <w:snapToGrid/>
            <w:spacing w:line="700" w:lineRule="exact"/>
            <w:textAlignment w:val="auto"/>
          </w:pPr>
        </w:p>
        <w:p w14:paraId="0AB057D8">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asciiTheme="majorEastAsia" w:hAnsiTheme="majorEastAsia" w:eastAsiaTheme="majorEastAsia"/>
              <w:b/>
              <w:bCs w:val="0"/>
              <w:color w:val="000000" w:themeColor="text1"/>
              <w:kern w:val="0"/>
              <w:sz w:val="56"/>
              <w:szCs w:val="56"/>
              <w14:textFill>
                <w14:solidFill>
                  <w14:schemeClr w14:val="tx1"/>
                </w14:solidFill>
              </w14:textFill>
            </w:rPr>
          </w:pPr>
        </w:p>
        <w:p w14:paraId="7B96B5F4">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0" w:firstLineChars="0"/>
            <w:jc w:val="center"/>
            <w:textAlignment w:val="auto"/>
            <w:rPr>
              <w:rFonts w:asciiTheme="majorEastAsia" w:hAnsiTheme="majorEastAsia" w:eastAsiaTheme="majorEastAsia"/>
              <w:b/>
              <w:bCs w:val="0"/>
              <w:color w:val="000000" w:themeColor="text1"/>
              <w:kern w:val="0"/>
              <w:sz w:val="56"/>
              <w:szCs w:val="56"/>
              <w14:textFill>
                <w14:solidFill>
                  <w14:schemeClr w14:val="tx1"/>
                </w14:solidFill>
              </w14:textFill>
            </w:rPr>
          </w:pPr>
        </w:p>
        <w:p w14:paraId="0E6E2619">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pPr>
          <w:r>
            <w:rPr>
              <w:rFonts w:hint="eastAsia" w:asciiTheme="majorEastAsia" w:hAnsiTheme="majorEastAsia" w:eastAsiaTheme="majorEastAsia"/>
              <w:b/>
              <w:bCs w:val="0"/>
              <w:color w:val="000000" w:themeColor="text1"/>
              <w:kern w:val="0"/>
              <w:sz w:val="44"/>
              <w:szCs w:val="44"/>
              <w:lang w:val="en-US" w:eastAsia="zh-CN"/>
              <w14:textFill>
                <w14:solidFill>
                  <w14:schemeClr w14:val="tx1"/>
                </w14:solidFill>
              </w14:textFill>
            </w:rPr>
            <w:t>2021</w:t>
          </w:r>
          <w:r>
            <w:rPr>
              <w:rFonts w:hint="eastAsia" w:asciiTheme="majorEastAsia" w:hAnsiTheme="majorEastAsia" w:eastAsiaTheme="majorEastAsia"/>
              <w:b/>
              <w:bCs w:val="0"/>
              <w:color w:val="000000" w:themeColor="text1"/>
              <w:kern w:val="0"/>
              <w:sz w:val="44"/>
              <w:szCs w:val="44"/>
              <w14:textFill>
                <w14:solidFill>
                  <w14:schemeClr w14:val="tx1"/>
                </w14:solidFill>
              </w14:textFill>
            </w:rPr>
            <w:t>年</w:t>
          </w:r>
          <w:r>
            <w:rPr>
              <w:rFonts w:hint="eastAsia" w:asciiTheme="majorEastAsia" w:hAnsiTheme="majorEastAsia" w:eastAsiaTheme="majorEastAsia"/>
              <w:b/>
              <w:bCs w:val="0"/>
              <w:color w:val="000000" w:themeColor="text1"/>
              <w:kern w:val="0"/>
              <w:sz w:val="44"/>
              <w:szCs w:val="44"/>
              <w:lang w:val="en-US" w:eastAsia="zh-CN"/>
              <w14:textFill>
                <w14:solidFill>
                  <w14:schemeClr w14:val="tx1"/>
                </w14:solidFill>
              </w14:textFill>
            </w:rPr>
            <w:t>12</w:t>
          </w:r>
          <w:r>
            <w:rPr>
              <w:rFonts w:hint="eastAsia" w:asciiTheme="majorEastAsia" w:hAnsiTheme="majorEastAsia" w:eastAsiaTheme="majorEastAsia"/>
              <w:b/>
              <w:bCs w:val="0"/>
              <w:color w:val="000000" w:themeColor="text1"/>
              <w:kern w:val="0"/>
              <w:sz w:val="44"/>
              <w:szCs w:val="44"/>
              <w14:textFill>
                <w14:solidFill>
                  <w14:schemeClr w14:val="tx1"/>
                </w14:solidFill>
              </w14:textFill>
            </w:rPr>
            <w:t>月</w:t>
          </w:r>
          <w:sdt>
            <w:sdtPr>
              <w:rPr>
                <w:rFonts w:hint="eastAsia" w:ascii="宋体" w:hAnsi="宋体" w:eastAsia="宋体" w:cs="宋体"/>
                <w:b/>
                <w:bCs/>
                <w:sz w:val="36"/>
                <w:szCs w:val="24"/>
              </w:rPr>
              <w:id w:val="147463240"/>
              <w:showingPlcHdr/>
              <w:docPartObj>
                <w:docPartGallery w:val="Table of Contents"/>
                <w:docPartUnique/>
              </w:docPartObj>
            </w:sdtPr>
            <w:sdtEndPr>
              <w:rPr>
                <w:rFonts w:hint="eastAsia" w:ascii="宋体" w:hAnsi="宋体" w:eastAsia="宋体" w:cs="Calibri"/>
                <w:b/>
                <w:bCs/>
                <w:sz w:val="21"/>
                <w:szCs w:val="21"/>
              </w:rPr>
            </w:sdtEndPr>
            <w:sdtContent/>
          </w:sdt>
        </w:p>
        <w:p w14:paraId="1D2D7B3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44"/>
              <w:szCs w:val="44"/>
            </w:rPr>
          </w:pPr>
        </w:p>
        <w:p w14:paraId="1FCB745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44"/>
              <w:szCs w:val="44"/>
            </w:rPr>
          </w:pPr>
        </w:p>
        <w:p w14:paraId="27163D3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44"/>
              <w:szCs w:val="44"/>
            </w:rPr>
          </w:pPr>
        </w:p>
        <w:p w14:paraId="03A8FE1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44"/>
              <w:szCs w:val="44"/>
            </w:rPr>
          </w:pPr>
        </w:p>
        <w:p w14:paraId="381600F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44"/>
              <w:szCs w:val="44"/>
            </w:rPr>
          </w:pPr>
        </w:p>
        <w:p w14:paraId="0FA806D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目  录</w:t>
          </w:r>
        </w:p>
        <w:p w14:paraId="5AFF816C">
          <w:pPr>
            <w:pStyle w:val="2"/>
            <w:rPr>
              <w:rFonts w:hint="eastAsia"/>
            </w:rPr>
          </w:pPr>
        </w:p>
        <w:p w14:paraId="77C185B8">
          <w:pPr>
            <w:pStyle w:val="15"/>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第一章 基本概况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_Toc14311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4C5EC9BF">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"_Toc31248"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一、自然地理环境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6876D2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"_Toc13334"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二、社会经济条件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A3B2E9">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三、林业资源条件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E5D09D7">
          <w:pPr>
            <w:pStyle w:val="15"/>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"_Toc6215"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第二章 “十三五”林业建设回顾</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_Toc6215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- 4 -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0E523F7B">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一、目标完成情况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2F37B5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二、工作成效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E854575">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"_Toc20814"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三、存在问题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B8213B7">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"_Toc12590"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四、发展机遇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_Toc12590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CD84432">
          <w:pPr>
            <w:pStyle w:val="15"/>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"_Toc14995"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第三章 “十四五”林业保护发展思路</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_Toc14995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- 17 -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68CE44A4">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72C9347">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二、基本原则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82E0AE0">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三、规划依据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5C71A48">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四、规划定位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E0B0F27">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五、发展目标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11ABB05">
          <w:pPr>
            <w:pStyle w:val="15"/>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第四章 林业保护发展重大任务</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_Toc13676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- 25 -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7F002F3F">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"_Toc9664"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一、推深做实林长制改革，创新林业发展机制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0B66C18">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二、科学加强森林经营，提高生态服务功能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4A5C782">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三、加强防控体系建设，保障森林健康发展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D71B531">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四、严守林业生态红线，强化森林资源保护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1098BEE">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"_Toc6091"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五、发展绿色富民产业，构建林业产业体系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9C4F253">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"_Toc19203"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六、推动林业科技创新，夯实林业设施基础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860D643">
          <w:pPr>
            <w:pStyle w:val="15"/>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"_Toc15778"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第五章 保障措施</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_Toc15778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- 49 -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7895D119">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"_Toc4064"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一、体制机制保障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0D6B89B">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"_Toc28164"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二、资金投入保障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A80FA76">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三、科技支撑保障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11F421C">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"_Toc10341"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四、人才资源保障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3630C9B">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"_Toc15309"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五、林业法治保障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42974B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"_Toc9434"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六、宣传教育保障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_Toc9434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sdtContent>
    </w:sdt>
    <w:p w14:paraId="037E5F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2"/>
          <w:szCs w:val="32"/>
        </w:rPr>
      </w:pPr>
    </w:p>
    <w:p w14:paraId="6C681A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附表</w:t>
      </w:r>
    </w:p>
    <w:p w14:paraId="43E5238C">
      <w:pPr>
        <w:widowControl w:val="0"/>
        <w:wordWrap/>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附表1：黄山市林业保护发展“十四五”规划重点工程一览表</w:t>
      </w:r>
    </w:p>
    <w:p w14:paraId="398F1B0D">
      <w:pPr>
        <w:widowControl w:val="0"/>
        <w:wordWrap/>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附表2：黄山市林业保护发展“十四五”规划重点项目一览表</w:t>
      </w:r>
    </w:p>
    <w:p w14:paraId="0848BDF7">
      <w:pPr>
        <w:pStyle w:val="2"/>
        <w:rPr>
          <w:rFonts w:hint="eastAsia"/>
        </w:rPr>
      </w:pPr>
    </w:p>
    <w:p w14:paraId="214130C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附图</w:t>
      </w:r>
    </w:p>
    <w:p w14:paraId="11621F5C">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附图1：黄山市林业保护发展“十四五”规划森林资源分布图</w:t>
      </w:r>
    </w:p>
    <w:p w14:paraId="360A5F58">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附图2：黄山市林业保护发展“十四五”规划森林质量分布图</w:t>
      </w:r>
    </w:p>
    <w:p w14:paraId="27EC9B9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附图3：黄山市林业保护发展“十四五”规划松材线虫病靶向防控区划示意图</w:t>
      </w:r>
    </w:p>
    <w:p w14:paraId="3B70D8F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附图4：黄山市林业保护发展“十四五”规划自然保护地分布图</w:t>
      </w:r>
    </w:p>
    <w:p w14:paraId="327FA84C">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p>
    <w:p w14:paraId="41748B8E">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sz w:val="32"/>
          <w:szCs w:val="32"/>
        </w:rPr>
        <w:sectPr>
          <w:footerReference r:id="rId5" w:type="default"/>
          <w:pgSz w:w="11906" w:h="16838"/>
          <w:pgMar w:top="1440" w:right="1800" w:bottom="1398" w:left="1800" w:header="851" w:footer="992" w:gutter="0"/>
          <w:pgNumType w:fmt="upperRoman" w:start="1"/>
          <w:cols w:space="0" w:num="1"/>
          <w:docGrid w:type="lines" w:linePitch="312" w:charSpace="0"/>
        </w:sectPr>
      </w:pPr>
      <w:bookmarkStart w:id="0" w:name="_Toc20574"/>
      <w:bookmarkStart w:id="1" w:name="_Toc540"/>
      <w:bookmarkStart w:id="2" w:name="_Toc17399"/>
      <w:bookmarkStart w:id="3" w:name="_Toc14311"/>
      <w:bookmarkStart w:id="4" w:name="_Toc28894"/>
      <w:bookmarkStart w:id="5" w:name="_Toc7412"/>
      <w:bookmarkStart w:id="6" w:name="_Toc22237"/>
      <w:bookmarkStart w:id="7" w:name="_Toc31912"/>
      <w:bookmarkStart w:id="8" w:name="_Toc31503"/>
      <w:bookmarkStart w:id="9" w:name="_Toc16961"/>
    </w:p>
    <w:p w14:paraId="7F5D9AE2">
      <w:pPr>
        <w:pageBreakBefore w:val="0"/>
        <w:widowControl w:val="0"/>
        <w:numPr>
          <w:ilvl w:val="0"/>
          <w:numId w:val="1"/>
        </w:numPr>
        <w:kinsoku/>
        <w:wordWrap/>
        <w:overflowPunct/>
        <w:topLinePunct w:val="0"/>
        <w:bidi w:val="0"/>
        <w:snapToGrid/>
        <w:spacing w:line="560" w:lineRule="exact"/>
        <w:jc w:val="center"/>
        <w:textAlignment w:val="auto"/>
        <w:outlineLvl w:val="0"/>
        <w:rPr>
          <w:rFonts w:ascii="黑体" w:hAnsi="黑体" w:eastAsia="黑体" w:cs="黑体"/>
          <w:b w:val="0"/>
          <w:bCs w:val="0"/>
        </w:rPr>
      </w:pPr>
      <w:r>
        <w:rPr>
          <w:rFonts w:hint="eastAsia" w:ascii="方正小标宋简体" w:hAnsi="方正小标宋简体" w:eastAsia="方正小标宋简体" w:cs="方正小标宋简体"/>
          <w:b w:val="0"/>
          <w:bCs w:val="0"/>
          <w:sz w:val="44"/>
          <w:szCs w:val="44"/>
        </w:rPr>
        <w:t>基本概况</w:t>
      </w:r>
      <w:bookmarkEnd w:id="0"/>
      <w:bookmarkEnd w:id="1"/>
      <w:bookmarkEnd w:id="2"/>
      <w:bookmarkEnd w:id="3"/>
      <w:bookmarkEnd w:id="4"/>
      <w:bookmarkEnd w:id="5"/>
      <w:bookmarkEnd w:id="6"/>
      <w:bookmarkEnd w:id="7"/>
      <w:bookmarkEnd w:id="8"/>
      <w:bookmarkEnd w:id="9"/>
      <w:bookmarkStart w:id="10" w:name="_Toc32313"/>
      <w:bookmarkStart w:id="11" w:name="_Toc23295"/>
      <w:bookmarkStart w:id="12" w:name="_Toc27969"/>
      <w:bookmarkStart w:id="13" w:name="_Toc27777"/>
      <w:bookmarkStart w:id="14" w:name="_Toc31310"/>
      <w:bookmarkStart w:id="15" w:name="_Toc29159"/>
      <w:bookmarkStart w:id="16" w:name="_Toc25769"/>
      <w:bookmarkStart w:id="17" w:name="_Toc12619"/>
      <w:bookmarkStart w:id="18" w:name="_Toc31248"/>
      <w:bookmarkStart w:id="19" w:name="_Toc25020"/>
    </w:p>
    <w:p w14:paraId="245BF185">
      <w:pPr>
        <w:pageBreakBefore w:val="0"/>
        <w:widowControl w:val="0"/>
        <w:numPr>
          <w:ilvl w:val="0"/>
          <w:numId w:val="0"/>
        </w:numPr>
        <w:kinsoku/>
        <w:wordWrap/>
        <w:overflowPunct/>
        <w:topLinePunct w:val="0"/>
        <w:bidi w:val="0"/>
        <w:snapToGrid/>
        <w:spacing w:line="560" w:lineRule="exact"/>
        <w:jc w:val="both"/>
        <w:textAlignment w:val="auto"/>
        <w:outlineLvl w:val="0"/>
        <w:rPr>
          <w:rFonts w:hint="eastAsia" w:ascii="黑体" w:hAnsi="黑体" w:eastAsia="黑体" w:cs="黑体"/>
          <w:b w:val="0"/>
          <w:bCs w:val="0"/>
          <w:sz w:val="32"/>
          <w:szCs w:val="32"/>
        </w:rPr>
      </w:pPr>
    </w:p>
    <w:p w14:paraId="0A1F5A9F">
      <w:pPr>
        <w:pageBreakBefore w:val="0"/>
        <w:widowControl w:val="0"/>
        <w:numPr>
          <w:ilvl w:val="0"/>
          <w:numId w:val="2"/>
        </w:numPr>
        <w:kinsoku/>
        <w:wordWrap/>
        <w:overflowPunct/>
        <w:topLinePunct w:val="0"/>
        <w:bidi w:val="0"/>
        <w:snapToGrid/>
        <w:spacing w:line="560" w:lineRule="exact"/>
        <w:jc w:val="both"/>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自然地理</w:t>
      </w:r>
      <w:bookmarkEnd w:id="10"/>
      <w:bookmarkEnd w:id="11"/>
      <w:bookmarkEnd w:id="12"/>
      <w:bookmarkEnd w:id="13"/>
      <w:bookmarkEnd w:id="14"/>
      <w:bookmarkEnd w:id="15"/>
      <w:bookmarkEnd w:id="16"/>
      <w:bookmarkEnd w:id="17"/>
      <w:r>
        <w:rPr>
          <w:rFonts w:hint="eastAsia" w:ascii="黑体" w:hAnsi="黑体" w:eastAsia="黑体" w:cs="黑体"/>
          <w:b w:val="0"/>
          <w:bCs w:val="0"/>
          <w:sz w:val="32"/>
          <w:szCs w:val="32"/>
        </w:rPr>
        <w:t>环境</w:t>
      </w:r>
      <w:bookmarkEnd w:id="18"/>
      <w:bookmarkEnd w:id="19"/>
    </w:p>
    <w:p w14:paraId="18A0025F">
      <w:pPr>
        <w:pageBreakBefore w:val="0"/>
        <w:widowControl w:val="0"/>
        <w:numPr>
          <w:ilvl w:val="0"/>
          <w:numId w:val="3"/>
        </w:numPr>
        <w:kinsoku/>
        <w:wordWrap/>
        <w:overflowPunct/>
        <w:topLinePunct w:val="0"/>
        <w:bidi w:val="0"/>
        <w:snapToGrid/>
        <w:spacing w:line="560" w:lineRule="exact"/>
        <w:ind w:firstLine="643" w:firstLineChars="200"/>
        <w:jc w:val="both"/>
        <w:textAlignment w:val="auto"/>
        <w:outlineLvl w:val="0"/>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地理位置。</w:t>
      </w:r>
      <w:r>
        <w:rPr>
          <w:rFonts w:hint="eastAsia" w:ascii="仿宋_GB2312" w:hAnsi="仿宋_GB2312" w:eastAsia="仿宋_GB2312" w:cs="仿宋_GB2312"/>
          <w:b w:val="0"/>
          <w:bCs/>
          <w:sz w:val="32"/>
          <w:szCs w:val="32"/>
          <w:lang w:val="zh-CN"/>
        </w:rPr>
        <w:t>黄山市位于安徽省最南端，地处皖浙赣三省交界处，地跨东经117°02′—118°55′和北纬29°24′—30°24′之间，总面积9807平方千米。东南与浙江省衢州市开化县、杭州市淳安县、临安区为邻，西南与江西省景德镇市浮梁县、上饶市婺源县交界，西北与池州市青阳县、石台县、东至县毗邻，东北与安徽省宣城市绩溪县、旌德县、泾县接壤。</w:t>
      </w:r>
    </w:p>
    <w:p w14:paraId="621F1B68">
      <w:pPr>
        <w:pageBreakBefore w:val="0"/>
        <w:widowControl w:val="0"/>
        <w:numPr>
          <w:ilvl w:val="0"/>
          <w:numId w:val="3"/>
        </w:numPr>
        <w:kinsoku/>
        <w:wordWrap/>
        <w:overflowPunct/>
        <w:topLinePunct w:val="0"/>
        <w:bidi w:val="0"/>
        <w:snapToGrid/>
        <w:spacing w:line="560" w:lineRule="exact"/>
        <w:ind w:left="0" w:leftChars="0" w:firstLine="643" w:firstLineChars="200"/>
        <w:jc w:val="both"/>
        <w:textAlignment w:val="auto"/>
        <w:outlineLvl w:val="0"/>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地形地貌。</w:t>
      </w:r>
      <w:r>
        <w:rPr>
          <w:rFonts w:hint="eastAsia" w:ascii="仿宋_GB2312" w:hAnsi="仿宋_GB2312" w:eastAsia="仿宋_GB2312" w:cs="仿宋_GB2312"/>
          <w:b w:val="0"/>
          <w:bCs/>
          <w:sz w:val="32"/>
          <w:szCs w:val="32"/>
          <w:lang w:val="zh-CN"/>
        </w:rPr>
        <w:t>黄山市地处皖南山区，属中亚热带北缘、常绿阔叶林地带，以山地地貌为主，丘陵、谷地、盆地居次，是一个“八山一水一分田”的山区。境内山丘屏列，岭谷交错，天目山和黄山山脉是安徽省同浙江、江西省的天然分界岭，也是长江下游与钱塘江的分水岭。</w:t>
      </w:r>
    </w:p>
    <w:p w14:paraId="0A42A482">
      <w:pPr>
        <w:pageBreakBefore w:val="0"/>
        <w:widowControl w:val="0"/>
        <w:numPr>
          <w:ilvl w:val="0"/>
          <w:numId w:val="3"/>
        </w:numPr>
        <w:kinsoku/>
        <w:wordWrap/>
        <w:overflowPunct/>
        <w:topLinePunct w:val="0"/>
        <w:bidi w:val="0"/>
        <w:snapToGrid/>
        <w:spacing w:line="560" w:lineRule="exact"/>
        <w:ind w:left="0" w:leftChars="0" w:firstLine="643" w:firstLineChars="200"/>
        <w:jc w:val="both"/>
        <w:textAlignment w:val="auto"/>
        <w:outlineLvl w:val="0"/>
        <w:rPr>
          <w:rFonts w:hint="eastAsia" w:ascii="仿宋_GB2312" w:hAnsi="仿宋_GB2312" w:eastAsia="仿宋_GB2312" w:cs="仿宋_GB2312"/>
          <w:b w:val="0"/>
          <w:bCs/>
          <w:w w:val="98"/>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气候特征。</w:t>
      </w:r>
      <w:r>
        <w:rPr>
          <w:rFonts w:hint="eastAsia" w:ascii="仿宋_GB2312" w:hAnsi="仿宋_GB2312" w:eastAsia="仿宋_GB2312" w:cs="仿宋_GB2312"/>
          <w:b w:val="0"/>
          <w:bCs/>
          <w:w w:val="98"/>
          <w:sz w:val="32"/>
          <w:szCs w:val="32"/>
          <w:lang w:val="zh-CN"/>
        </w:rPr>
        <w:t>黄山市地处北亚热带，属亚热带季风湿润气候区，主要特点是四季分明，春秋短，夏冬长，水热资源丰富。年平均气温15―16℃，大部分地区冬无严寒，无霜期236天。平均年降水量1670毫米，最高达2708毫米，降水多集中于5－8月。</w:t>
      </w:r>
    </w:p>
    <w:p w14:paraId="15FD6730">
      <w:pPr>
        <w:pageBreakBefore w:val="0"/>
        <w:widowControl w:val="0"/>
        <w:numPr>
          <w:ilvl w:val="0"/>
          <w:numId w:val="0"/>
        </w:numPr>
        <w:kinsoku/>
        <w:wordWrap/>
        <w:overflowPunct/>
        <w:topLinePunct w:val="0"/>
        <w:bidi w:val="0"/>
        <w:snapToGrid/>
        <w:spacing w:line="560" w:lineRule="exact"/>
        <w:ind w:firstLine="643" w:firstLineChars="200"/>
        <w:jc w:val="both"/>
        <w:textAlignment w:val="auto"/>
        <w:outlineLvl w:val="0"/>
        <w:rPr>
          <w:rFonts w:hint="eastAsia" w:ascii="仿宋_GB2312" w:hAnsi="仿宋_GB2312" w:eastAsia="仿宋_GB2312" w:cs="仿宋_GB2312"/>
          <w:b w:val="0"/>
          <w:bCs/>
          <w:sz w:val="32"/>
          <w:szCs w:val="32"/>
        </w:rPr>
      </w:pPr>
      <w:r>
        <w:rPr>
          <w:rFonts w:hint="eastAsia" w:ascii="楷体_GB2312" w:eastAsia="楷体_GB2312" w:cs="楷体_GB2312" w:hAnsiTheme="minorHAnsi"/>
          <w:b/>
          <w:bCs/>
          <w:kern w:val="2"/>
          <w:sz w:val="32"/>
          <w:szCs w:val="32"/>
          <w:shd w:val="clear" w:color="auto" w:fill="FFFFFF"/>
          <w:lang w:val="en-US" w:eastAsia="zh-CN" w:bidi="ar-SA"/>
        </w:rPr>
        <w:t>（四）水系水文。</w:t>
      </w:r>
      <w:r>
        <w:rPr>
          <w:rFonts w:hint="eastAsia" w:ascii="仿宋_GB2312" w:hAnsi="仿宋_GB2312" w:eastAsia="仿宋_GB2312" w:cs="仿宋_GB2312"/>
          <w:b w:val="0"/>
          <w:bCs/>
          <w:sz w:val="32"/>
          <w:szCs w:val="32"/>
          <w:lang w:val="zh-CN"/>
        </w:rPr>
        <w:t>黄山山脉自东北向西南绵延，将黄山市分为南、北两坡，分成钱塘江和长江两大流域，主要有三大水系：新安江水系、阊江水系和青弋江水系，其市域内流域面积分别为5540.7平方千米、1950平方千米、2187.3平方千米，分别占全市面积的57%、20%、23%</w:t>
      </w:r>
      <w:r>
        <w:rPr>
          <w:rFonts w:hint="eastAsia" w:ascii="仿宋_GB2312" w:hAnsi="仿宋_GB2312" w:eastAsia="仿宋_GB2312" w:cs="仿宋_GB2312"/>
          <w:b w:val="0"/>
          <w:bCs/>
          <w:sz w:val="32"/>
          <w:szCs w:val="32"/>
        </w:rPr>
        <w:t>。</w:t>
      </w:r>
    </w:p>
    <w:p w14:paraId="0FD47C0D">
      <w:pPr>
        <w:pStyle w:val="6"/>
        <w:pageBreakBefore w:val="0"/>
        <w:widowControl w:val="0"/>
        <w:numPr>
          <w:ilvl w:val="255"/>
          <w:numId w:val="0"/>
        </w:numPr>
        <w:kinsoku/>
        <w:wordWrap/>
        <w:overflowPunct/>
        <w:topLinePunct w:val="0"/>
        <w:bidi w:val="0"/>
        <w:snapToGrid/>
        <w:spacing w:before="0" w:beforeLines="0" w:after="0" w:afterLines="0" w:line="560" w:lineRule="exact"/>
        <w:ind w:firstLine="640" w:firstLineChars="200"/>
        <w:jc w:val="left"/>
        <w:textAlignment w:val="auto"/>
        <w:rPr>
          <w:rFonts w:ascii="黑体" w:hAnsi="黑体" w:eastAsia="黑体" w:cs="黑体"/>
        </w:rPr>
      </w:pPr>
      <w:bookmarkStart w:id="20" w:name="_Toc1445"/>
      <w:bookmarkStart w:id="21" w:name="_Toc16579"/>
      <w:bookmarkStart w:id="22" w:name="_Toc31129"/>
      <w:bookmarkStart w:id="23" w:name="_Toc222"/>
      <w:bookmarkStart w:id="24" w:name="_Toc2547"/>
      <w:bookmarkStart w:id="25" w:name="_Toc31271"/>
      <w:bookmarkStart w:id="26" w:name="_Toc10695"/>
      <w:bookmarkStart w:id="27" w:name="_Toc30483"/>
      <w:bookmarkStart w:id="28" w:name="_Toc11711"/>
      <w:bookmarkStart w:id="29" w:name="_Toc13334"/>
      <w:r>
        <w:rPr>
          <w:rFonts w:hint="eastAsia" w:ascii="黑体" w:hAnsi="黑体" w:eastAsia="黑体" w:cs="黑体"/>
          <w:b w:val="0"/>
          <w:bCs w:val="0"/>
        </w:rPr>
        <w:t>二、社会经济</w:t>
      </w:r>
      <w:bookmarkEnd w:id="20"/>
      <w:bookmarkEnd w:id="21"/>
      <w:bookmarkEnd w:id="22"/>
      <w:bookmarkEnd w:id="23"/>
      <w:bookmarkEnd w:id="24"/>
      <w:bookmarkEnd w:id="25"/>
      <w:bookmarkEnd w:id="26"/>
      <w:bookmarkEnd w:id="27"/>
      <w:r>
        <w:rPr>
          <w:rFonts w:hint="eastAsia" w:ascii="黑体" w:hAnsi="黑体" w:eastAsia="黑体" w:cs="黑体"/>
          <w:b w:val="0"/>
          <w:bCs w:val="0"/>
        </w:rPr>
        <w:t>条件</w:t>
      </w:r>
      <w:bookmarkEnd w:id="28"/>
      <w:bookmarkEnd w:id="29"/>
    </w:p>
    <w:p w14:paraId="2B8F9492">
      <w:pPr>
        <w:pStyle w:val="7"/>
        <w:pageBreakBefore w:val="0"/>
        <w:widowControl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（一）行政区划与人口。</w:t>
      </w:r>
      <w:r>
        <w:rPr>
          <w:rFonts w:hint="eastAsia" w:ascii="仿宋_GB2312" w:hAnsi="仿宋_GB2312" w:eastAsia="仿宋_GB2312" w:cs="仿宋_GB2312"/>
          <w:b w:val="0"/>
          <w:bCs/>
          <w:sz w:val="32"/>
          <w:szCs w:val="32"/>
          <w:lang w:val="zh-CN"/>
        </w:rPr>
        <w:t>黄山市包含三区四县，分别为屯溪区、黄山区、徽州区、歙县、休宁县、黟县、祁门县。全域有</w:t>
      </w: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val="zh-CN"/>
        </w:rPr>
        <w:t>个街道办事处、5</w:t>
      </w:r>
      <w:r>
        <w:rPr>
          <w:rFonts w:hint="eastAsia" w:ascii="仿宋_GB2312" w:hAnsi="仿宋_GB2312" w:eastAsia="仿宋_GB2312" w:cs="仿宋_GB2312"/>
          <w:b w:val="0"/>
          <w:bCs/>
          <w:sz w:val="32"/>
          <w:szCs w:val="32"/>
        </w:rPr>
        <w:t>8</w:t>
      </w:r>
      <w:r>
        <w:rPr>
          <w:rFonts w:hint="eastAsia" w:ascii="仿宋_GB2312" w:hAnsi="仿宋_GB2312" w:eastAsia="仿宋_GB2312" w:cs="仿宋_GB2312"/>
          <w:b w:val="0"/>
          <w:bCs/>
          <w:sz w:val="32"/>
          <w:szCs w:val="32"/>
          <w:lang w:val="zh-CN"/>
        </w:rPr>
        <w:t>个镇、4</w:t>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val="zh-CN"/>
        </w:rPr>
        <w:t>个乡。20</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zh-CN"/>
        </w:rPr>
        <w:t>年末黄山市户籍人口148.</w:t>
      </w:r>
      <w:r>
        <w:rPr>
          <w:rFonts w:hint="eastAsia" w:ascii="仿宋_GB2312" w:hAnsi="仿宋_GB2312" w:eastAsia="仿宋_GB2312" w:cs="仿宋_GB2312"/>
          <w:b w:val="0"/>
          <w:bCs/>
          <w:sz w:val="32"/>
          <w:szCs w:val="32"/>
        </w:rPr>
        <w:t>85</w:t>
      </w:r>
      <w:r>
        <w:rPr>
          <w:rFonts w:hint="eastAsia" w:ascii="仿宋_GB2312" w:hAnsi="仿宋_GB2312" w:eastAsia="仿宋_GB2312" w:cs="仿宋_GB2312"/>
          <w:b w:val="0"/>
          <w:bCs/>
          <w:sz w:val="32"/>
          <w:szCs w:val="32"/>
          <w:lang w:val="zh-CN"/>
        </w:rPr>
        <w:t>万人，城镇人口53.82</w:t>
      </w:r>
      <w:r>
        <w:rPr>
          <w:rFonts w:hint="eastAsia" w:ascii="仿宋_GB2312" w:hAnsi="仿宋_GB2312" w:eastAsia="仿宋_GB2312" w:cs="仿宋_GB2312"/>
          <w:b w:val="0"/>
          <w:bCs/>
          <w:sz w:val="32"/>
          <w:szCs w:val="32"/>
        </w:rPr>
        <w:t>万人，乡村人口</w:t>
      </w:r>
      <w:r>
        <w:rPr>
          <w:rFonts w:hint="eastAsia" w:ascii="仿宋_GB2312" w:hAnsi="仿宋_GB2312" w:eastAsia="仿宋_GB2312" w:cs="仿宋_GB2312"/>
          <w:b w:val="0"/>
          <w:bCs/>
          <w:sz w:val="32"/>
          <w:szCs w:val="32"/>
          <w:lang w:val="zh-CN"/>
        </w:rPr>
        <w:t>95.03</w:t>
      </w:r>
      <w:r>
        <w:rPr>
          <w:rFonts w:hint="eastAsia" w:ascii="仿宋_GB2312" w:hAnsi="仿宋_GB2312" w:eastAsia="仿宋_GB2312" w:cs="仿宋_GB2312"/>
          <w:b w:val="0"/>
          <w:bCs/>
          <w:sz w:val="32"/>
          <w:szCs w:val="32"/>
        </w:rPr>
        <w:t>万人</w:t>
      </w:r>
      <w:r>
        <w:rPr>
          <w:rFonts w:hint="eastAsia" w:ascii="仿宋_GB2312" w:hAnsi="仿宋_GB2312" w:eastAsia="仿宋_GB2312" w:cs="仿宋_GB2312"/>
          <w:b w:val="0"/>
          <w:bCs/>
          <w:sz w:val="32"/>
          <w:szCs w:val="32"/>
          <w:lang w:val="zh-CN"/>
        </w:rPr>
        <w:t>。</w:t>
      </w:r>
    </w:p>
    <w:p w14:paraId="72FBF2ED">
      <w:pPr>
        <w:pStyle w:val="7"/>
        <w:pageBreakBefore w:val="0"/>
        <w:widowControl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（二）社会经济。</w:t>
      </w:r>
      <w:r>
        <w:rPr>
          <w:rFonts w:hint="eastAsia" w:ascii="仿宋_GB2312" w:hAnsi="仿宋_GB2312" w:eastAsia="仿宋_GB2312" w:cs="仿宋_GB2312"/>
          <w:b w:val="0"/>
          <w:bCs/>
          <w:sz w:val="32"/>
          <w:szCs w:val="32"/>
          <w:lang w:val="zh-CN"/>
        </w:rPr>
        <w:t>20</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zh-CN"/>
        </w:rPr>
        <w:t>年黄山市全年实现地区生产总值850.4亿元，比上年增长2.8%。全年全市常住居民人均可支配收入27916元，比上年增长6.8%</w:t>
      </w:r>
      <w:r>
        <w:rPr>
          <w:rFonts w:hint="eastAsia" w:ascii="仿宋_GB2312" w:hAnsi="仿宋_GB2312" w:eastAsia="仿宋_GB2312" w:cs="仿宋_GB2312"/>
          <w:b w:val="0"/>
          <w:bCs/>
          <w:color w:val="000000"/>
          <w:spacing w:val="4"/>
          <w:sz w:val="32"/>
          <w:szCs w:val="32"/>
        </w:rPr>
        <w:t>。</w:t>
      </w:r>
      <w:r>
        <w:rPr>
          <w:rFonts w:hint="eastAsia" w:ascii="仿宋_GB2312" w:hAnsi="仿宋_GB2312" w:eastAsia="仿宋_GB2312" w:cs="仿宋_GB2312"/>
          <w:b w:val="0"/>
          <w:bCs/>
          <w:sz w:val="32"/>
          <w:szCs w:val="32"/>
          <w:lang w:val="zh-CN"/>
        </w:rPr>
        <w:t>三产结构由上年的7.6：34.6：57.8调整为7.9：34.7：57.4。</w:t>
      </w:r>
    </w:p>
    <w:p w14:paraId="651F846E">
      <w:pPr>
        <w:pStyle w:val="6"/>
        <w:pageBreakBefore w:val="0"/>
        <w:widowControl w:val="0"/>
        <w:numPr>
          <w:ilvl w:val="255"/>
          <w:numId w:val="0"/>
        </w:numPr>
        <w:kinsoku/>
        <w:wordWrap/>
        <w:overflowPunct/>
        <w:topLinePunct w:val="0"/>
        <w:bidi w:val="0"/>
        <w:snapToGrid/>
        <w:spacing w:before="0" w:beforeLines="0" w:after="0" w:afterLines="0" w:line="560" w:lineRule="exact"/>
        <w:ind w:firstLine="640" w:firstLineChars="200"/>
        <w:jc w:val="left"/>
        <w:textAlignment w:val="auto"/>
        <w:rPr>
          <w:rFonts w:hint="eastAsia" w:ascii="黑体" w:hAnsi="黑体" w:eastAsia="黑体" w:cs="黑体"/>
          <w:b w:val="0"/>
          <w:bCs w:val="0"/>
        </w:rPr>
      </w:pPr>
      <w:bookmarkStart w:id="30" w:name="_Toc997"/>
      <w:bookmarkStart w:id="31" w:name="_Toc577"/>
      <w:bookmarkStart w:id="32" w:name="_Toc21493"/>
      <w:bookmarkStart w:id="33" w:name="_Toc29515"/>
      <w:bookmarkStart w:id="34" w:name="_Toc32023"/>
      <w:bookmarkStart w:id="35" w:name="_Toc16913"/>
      <w:bookmarkStart w:id="36" w:name="_Toc29234"/>
      <w:bookmarkStart w:id="37" w:name="_Toc25564"/>
      <w:bookmarkStart w:id="38" w:name="_Toc3186"/>
      <w:bookmarkStart w:id="39" w:name="_Toc17088"/>
      <w:r>
        <w:rPr>
          <w:rFonts w:hint="eastAsia" w:ascii="黑体" w:hAnsi="黑体" w:eastAsia="黑体" w:cs="黑体"/>
          <w:b w:val="0"/>
          <w:bCs w:val="0"/>
        </w:rPr>
        <w:t>三、林业资源</w:t>
      </w:r>
      <w:bookmarkEnd w:id="30"/>
      <w:bookmarkEnd w:id="31"/>
      <w:bookmarkEnd w:id="32"/>
      <w:bookmarkEnd w:id="33"/>
      <w:bookmarkEnd w:id="34"/>
      <w:bookmarkEnd w:id="35"/>
      <w:bookmarkEnd w:id="36"/>
      <w:bookmarkEnd w:id="37"/>
      <w:r>
        <w:rPr>
          <w:rFonts w:hint="eastAsia" w:ascii="黑体" w:hAnsi="黑体" w:eastAsia="黑体" w:cs="黑体"/>
          <w:b w:val="0"/>
          <w:bCs w:val="0"/>
        </w:rPr>
        <w:t>条件</w:t>
      </w:r>
      <w:bookmarkEnd w:id="38"/>
      <w:bookmarkEnd w:id="39"/>
    </w:p>
    <w:p w14:paraId="2A70A505">
      <w:pPr>
        <w:pStyle w:val="7"/>
        <w:pageBreakBefore w:val="0"/>
        <w:widowControl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（一）森林资源。</w:t>
      </w:r>
      <w:r>
        <w:rPr>
          <w:rFonts w:hint="eastAsia" w:ascii="仿宋_GB2312" w:hAnsi="仿宋_GB2312" w:eastAsia="仿宋_GB2312" w:cs="仿宋_GB2312"/>
          <w:b w:val="0"/>
          <w:bCs/>
          <w:sz w:val="32"/>
          <w:szCs w:val="32"/>
          <w:lang w:val="zh-CN"/>
        </w:rPr>
        <w:t>黄山市林地面积1249万亩，占市域总面积的86%，森林覆盖率82.9%，均居全省第一位。黄山市林地保有量为1249</w:t>
      </w:r>
      <w:r>
        <w:rPr>
          <w:rFonts w:hint="eastAsia" w:ascii="仿宋_GB2312" w:hAnsi="仿宋_GB2312" w:eastAsia="仿宋_GB2312" w:cs="仿宋_GB2312"/>
          <w:b w:val="0"/>
          <w:bCs/>
          <w:sz w:val="32"/>
          <w:szCs w:val="32"/>
        </w:rPr>
        <w:t>万亩，</w:t>
      </w:r>
      <w:r>
        <w:rPr>
          <w:rFonts w:hint="eastAsia" w:ascii="仿宋_GB2312" w:hAnsi="仿宋_GB2312" w:eastAsia="仿宋_GB2312" w:cs="仿宋_GB2312"/>
          <w:b w:val="0"/>
          <w:bCs/>
          <w:sz w:val="32"/>
          <w:szCs w:val="32"/>
          <w:lang w:val="zh-CN"/>
        </w:rPr>
        <w:t>森林面积为</w:t>
      </w:r>
      <w:r>
        <w:rPr>
          <w:rFonts w:hint="eastAsia" w:ascii="仿宋_GB2312" w:hAnsi="仿宋_GB2312" w:eastAsia="仿宋_GB2312" w:cs="仿宋_GB2312"/>
          <w:b w:val="0"/>
          <w:bCs/>
          <w:sz w:val="32"/>
          <w:szCs w:val="32"/>
        </w:rPr>
        <w:t>1111万亩，森林蓄积量为</w:t>
      </w:r>
      <w:r>
        <w:rPr>
          <w:rFonts w:hint="eastAsia" w:ascii="仿宋_GB2312" w:hAnsi="仿宋_GB2312" w:eastAsia="仿宋_GB2312" w:cs="仿宋_GB2312"/>
          <w:b w:val="0"/>
          <w:bCs/>
          <w:sz w:val="32"/>
          <w:szCs w:val="32"/>
          <w:lang w:val="zh-CN"/>
        </w:rPr>
        <w:t>4490</w:t>
      </w:r>
      <w:r>
        <w:rPr>
          <w:rFonts w:hint="eastAsia" w:ascii="仿宋_GB2312" w:hAnsi="仿宋_GB2312" w:eastAsia="仿宋_GB2312" w:cs="仿宋_GB2312"/>
          <w:b w:val="0"/>
          <w:bCs/>
          <w:sz w:val="32"/>
          <w:szCs w:val="32"/>
        </w:rPr>
        <w:t>万立方米，天然林面积</w:t>
      </w:r>
      <w:r>
        <w:rPr>
          <w:rFonts w:hint="eastAsia" w:ascii="仿宋_GB2312" w:hAnsi="仿宋_GB2312" w:eastAsia="仿宋_GB2312" w:cs="仿宋_GB2312"/>
          <w:b w:val="0"/>
          <w:bCs/>
          <w:sz w:val="32"/>
          <w:szCs w:val="32"/>
          <w:lang w:val="zh-CN"/>
        </w:rPr>
        <w:t>398</w:t>
      </w:r>
      <w:r>
        <w:rPr>
          <w:rFonts w:hint="eastAsia" w:ascii="仿宋_GB2312" w:hAnsi="仿宋_GB2312" w:eastAsia="仿宋_GB2312" w:cs="仿宋_GB2312"/>
          <w:b w:val="0"/>
          <w:bCs/>
          <w:sz w:val="32"/>
          <w:szCs w:val="32"/>
        </w:rPr>
        <w:t>万亩。</w:t>
      </w:r>
      <w:r>
        <w:rPr>
          <w:rFonts w:hint="eastAsia" w:ascii="仿宋_GB2312" w:hAnsi="仿宋_GB2312" w:eastAsia="仿宋_GB2312" w:cs="仿宋_GB2312"/>
          <w:b w:val="0"/>
          <w:bCs/>
          <w:sz w:val="32"/>
          <w:szCs w:val="32"/>
          <w:lang w:val="zh-CN"/>
        </w:rPr>
        <w:t>公益林面积为535万亩，其中国家级公益林440.2万亩，省级公益林95.02万亩。现有登记建档古树名木10458株，占全省古树名木总数37.6%，其中一级古树267株，二级古树1562株，三级古树8542株，名木87株。</w:t>
      </w:r>
    </w:p>
    <w:p w14:paraId="17147254">
      <w:pPr>
        <w:pageBreakBefore w:val="0"/>
        <w:widowControl w:val="0"/>
        <w:kinsoku/>
        <w:wordWrap/>
        <w:overflowPunct/>
        <w:topLinePunct w:val="0"/>
        <w:autoSpaceDE w:val="0"/>
        <w:autoSpaceDN w:val="0"/>
        <w:bidi w:val="0"/>
        <w:adjustRightInd w:val="0"/>
        <w:snapToGrid/>
        <w:spacing w:line="560" w:lineRule="exact"/>
        <w:ind w:firstLine="560"/>
        <w:textAlignment w:val="auto"/>
        <w:rPr>
          <w:rFonts w:hint="eastAsia" w:ascii="仿宋_GB2312" w:hAnsi="仿宋_GB2312" w:eastAsia="仿宋_GB2312" w:cs="仿宋_GB2312"/>
          <w:color w:val="FF0000"/>
          <w:sz w:val="32"/>
          <w:szCs w:val="32"/>
        </w:rPr>
      </w:pPr>
      <w:r>
        <w:rPr>
          <w:rFonts w:hint="eastAsia" w:ascii="楷体_GB2312" w:eastAsia="楷体_GB2312" w:cs="楷体_GB2312" w:hAnsiTheme="minorHAnsi"/>
          <w:b/>
          <w:bCs/>
          <w:sz w:val="32"/>
          <w:szCs w:val="32"/>
          <w:shd w:val="clear" w:color="auto" w:fill="FFFFFF"/>
        </w:rPr>
        <w:t>（二）保护地资源</w:t>
      </w:r>
      <w:r>
        <w:rPr>
          <w:rFonts w:hint="eastAsia" w:ascii="楷体_GB2312" w:eastAsia="楷体_GB2312" w:cs="楷体_GB2312" w:hAnsiTheme="minorHAnsi"/>
          <w:b/>
          <w:bCs/>
          <w:sz w:val="32"/>
          <w:szCs w:val="32"/>
          <w:shd w:val="clear" w:color="auto" w:fill="FFFFFF"/>
          <w:lang w:eastAsia="zh-CN"/>
        </w:rPr>
        <w:t>。</w:t>
      </w:r>
      <w:r>
        <w:rPr>
          <w:rFonts w:hint="eastAsia" w:ascii="仿宋_GB2312" w:hAnsi="仿宋_GB2312" w:eastAsia="仿宋_GB2312" w:cs="仿宋_GB2312"/>
          <w:sz w:val="32"/>
          <w:szCs w:val="32"/>
          <w:lang w:val="zh-CN"/>
        </w:rPr>
        <w:t>全市有各级各类自然保护地105处，参与</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zh-CN"/>
        </w:rPr>
        <w:t>整合优化自然保护地8</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处（</w:t>
      </w:r>
      <w:r>
        <w:rPr>
          <w:rFonts w:hint="eastAsia" w:ascii="仿宋_GB2312" w:hAnsi="仿宋_GB2312" w:eastAsia="仿宋_GB2312" w:cs="仿宋_GB2312"/>
          <w:sz w:val="32"/>
          <w:szCs w:val="32"/>
        </w:rPr>
        <w:t>不含2处世界级自然保护地、11处水利风景名胜区、4处风景名胜区、4处水产种质资源保护区及黄山市大鲵自然生态保护区</w:t>
      </w:r>
      <w:r>
        <w:rPr>
          <w:rFonts w:hint="eastAsia" w:ascii="仿宋_GB2312" w:hAnsi="仿宋_GB2312" w:eastAsia="仿宋_GB2312" w:cs="仿宋_GB2312"/>
          <w:sz w:val="32"/>
          <w:szCs w:val="32"/>
          <w:lang w:val="zh-CN"/>
        </w:rPr>
        <w:t>），其中自然保护区70处（国家级自然保护区2处，省级自然保护区7处，市县级自然保护区61处），森林公园8处（国家级4处，省级4处），湿地公园3处（国家级2处，省级1处），地质公园3处（均为国家级），自然保护地总</w:t>
      </w:r>
      <w:r>
        <w:rPr>
          <w:rFonts w:hint="eastAsia" w:ascii="仿宋_GB2312" w:hAnsi="仿宋_GB2312" w:eastAsia="仿宋_GB2312" w:cs="仿宋_GB2312"/>
          <w:sz w:val="32"/>
          <w:szCs w:val="32"/>
        </w:rPr>
        <w:t>面积为146.15万亩，占市域国土面积的10.07%。</w:t>
      </w:r>
    </w:p>
    <w:p w14:paraId="4933E99C">
      <w:pPr>
        <w:pStyle w:val="7"/>
        <w:pageBreakBefore w:val="0"/>
        <w:widowControl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（三）湿地资源。</w:t>
      </w:r>
      <w:r>
        <w:rPr>
          <w:rFonts w:hint="eastAsia" w:ascii="仿宋_GB2312" w:hAnsi="仿宋_GB2312" w:eastAsia="仿宋_GB2312" w:cs="仿宋_GB2312"/>
          <w:b w:val="0"/>
          <w:bCs/>
          <w:sz w:val="32"/>
          <w:szCs w:val="32"/>
          <w:lang w:val="zh-CN" w:bidi="ar"/>
        </w:rPr>
        <w:t>黄山市湿地包括自然湿地和人工湿地</w:t>
      </w:r>
      <w:r>
        <w:rPr>
          <w:rFonts w:hint="eastAsia" w:ascii="仿宋_GB2312" w:hAnsi="仿宋_GB2312" w:eastAsia="仿宋_GB2312" w:cs="仿宋_GB2312"/>
          <w:b w:val="0"/>
          <w:bCs/>
          <w:sz w:val="32"/>
          <w:szCs w:val="32"/>
          <w:lang w:val="zh-CN"/>
        </w:rPr>
        <w:t>2</w:t>
      </w:r>
      <w:r>
        <w:rPr>
          <w:rFonts w:hint="eastAsia" w:ascii="仿宋_GB2312" w:hAnsi="仿宋_GB2312" w:eastAsia="仿宋_GB2312" w:cs="仿宋_GB2312"/>
          <w:b w:val="0"/>
          <w:bCs/>
          <w:sz w:val="32"/>
          <w:szCs w:val="32"/>
          <w:lang w:val="zh-CN" w:bidi="ar"/>
        </w:rPr>
        <w:t>类，分为永久性河流、洪泛平原湿地、库塘、水产养殖场、运河/输水河5型，湿地总面积33.18万亩，占国土总面积的2.26%。其中自然湿地包括河流湿地1类2型，面积21.40万亩，占湿地总面积64.50%；</w:t>
      </w:r>
      <w:r>
        <w:rPr>
          <w:rFonts w:hint="eastAsia" w:ascii="仿宋_GB2312" w:hAnsi="仿宋_GB2312" w:eastAsia="仿宋_GB2312" w:cs="仿宋_GB2312"/>
          <w:b w:val="0"/>
          <w:bCs/>
          <w:color w:val="000000"/>
          <w:sz w:val="32"/>
          <w:szCs w:val="32"/>
          <w:lang w:val="zh-CN" w:bidi="ar"/>
        </w:rPr>
        <w:t>人工湿地包括库塘、水产养殖场、运河/输水河1类3型，面积</w:t>
      </w:r>
      <w:r>
        <w:rPr>
          <w:rFonts w:hint="eastAsia" w:ascii="仿宋_GB2312" w:hAnsi="仿宋_GB2312" w:eastAsia="仿宋_GB2312" w:cs="仿宋_GB2312"/>
          <w:b w:val="0"/>
          <w:bCs/>
          <w:sz w:val="32"/>
          <w:szCs w:val="32"/>
          <w:lang w:val="zh-CN" w:bidi="ar"/>
        </w:rPr>
        <w:t>11.78万亩</w:t>
      </w:r>
      <w:r>
        <w:rPr>
          <w:rFonts w:hint="eastAsia" w:ascii="仿宋_GB2312" w:hAnsi="仿宋_GB2312" w:eastAsia="仿宋_GB2312" w:cs="仿宋_GB2312"/>
          <w:b w:val="0"/>
          <w:bCs/>
          <w:color w:val="000000"/>
          <w:sz w:val="32"/>
          <w:szCs w:val="32"/>
          <w:lang w:val="zh-CN" w:bidi="ar"/>
        </w:rPr>
        <w:t>，占湿地总面积35.50%。</w:t>
      </w:r>
    </w:p>
    <w:p w14:paraId="378722DE">
      <w:pPr>
        <w:pStyle w:val="7"/>
        <w:pageBreakBefore w:val="0"/>
        <w:widowControl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（四）动植物资源。</w:t>
      </w:r>
      <w:r>
        <w:rPr>
          <w:rFonts w:hint="eastAsia" w:ascii="仿宋_GB2312" w:hAnsi="仿宋_GB2312" w:eastAsia="仿宋_GB2312" w:cs="仿宋_GB2312"/>
          <w:b w:val="0"/>
          <w:bCs/>
          <w:sz w:val="32"/>
          <w:szCs w:val="32"/>
          <w:lang w:val="zh-CN"/>
        </w:rPr>
        <w:t>黄山市动物资源丰富，境内共有鸟类17目43科220种，哺乳动物8目22科86种，其中国家一、二级保护动物种类有华南梅花鹿、黑麂、黑熊、猕猴、大灵猫、小灵猫、鬣羚、穿山甲以及勺鸡等28种，省级保护动物共计195种。据统计，全市共有各类植物3000多种，木本植物1104种，占全省木本植物总数83.7</w:t>
      </w:r>
      <w:r>
        <w:rPr>
          <w:rFonts w:hint="eastAsia" w:ascii="仿宋_GB2312" w:hAnsi="仿宋_GB2312" w:eastAsia="仿宋_GB2312" w:cs="仿宋_GB2312"/>
          <w:b w:val="0"/>
          <w:bCs/>
          <w:sz w:val="32"/>
          <w:szCs w:val="32"/>
          <w:lang w:val="zh-CN" w:bidi="ar"/>
        </w:rPr>
        <w:t>%</w:t>
      </w:r>
      <w:r>
        <w:rPr>
          <w:rFonts w:hint="eastAsia" w:ascii="仿宋_GB2312" w:hAnsi="仿宋_GB2312" w:eastAsia="仿宋_GB2312" w:cs="仿宋_GB2312"/>
          <w:b w:val="0"/>
          <w:bCs/>
          <w:sz w:val="32"/>
          <w:szCs w:val="32"/>
          <w:lang w:val="zh-CN"/>
        </w:rPr>
        <w:t>，其中国家一、二级保护植物有银杏、香果树、南方红豆杉、连香树、华东黄杉等33种。</w:t>
      </w:r>
    </w:p>
    <w:p w14:paraId="353BC3BC">
      <w:pPr>
        <w:ind w:firstLine="561"/>
        <w:rPr>
          <w:b/>
          <w:bCs/>
        </w:rPr>
      </w:pPr>
      <w:r>
        <w:rPr>
          <w:rFonts w:hint="eastAsia"/>
          <w:b/>
          <w:bCs/>
        </w:rPr>
        <w:br w:type="page"/>
      </w:r>
    </w:p>
    <w:p w14:paraId="05617EA1">
      <w:pPr>
        <w:keepNext w:val="0"/>
        <w:keepLines w:val="0"/>
        <w:pageBreakBefore w:val="0"/>
        <w:numPr>
          <w:ilvl w:val="0"/>
          <w:numId w:val="1"/>
        </w:numPr>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bookmarkStart w:id="40" w:name="_Toc20042"/>
      <w:bookmarkStart w:id="41" w:name="_Toc18351"/>
      <w:bookmarkStart w:id="42" w:name="_Toc15262"/>
      <w:bookmarkStart w:id="43" w:name="_Toc11156"/>
      <w:bookmarkStart w:id="44" w:name="_Toc15591"/>
      <w:bookmarkStart w:id="45" w:name="_Toc6345"/>
      <w:bookmarkStart w:id="46" w:name="_Toc14866"/>
      <w:bookmarkStart w:id="47" w:name="_Toc2098"/>
      <w:bookmarkStart w:id="48" w:name="_Toc6215"/>
      <w:r>
        <w:rPr>
          <w:rFonts w:hint="eastAsia" w:ascii="方正小标宋简体" w:hAnsi="方正小标宋简体" w:eastAsia="方正小标宋简体" w:cs="方正小标宋简体"/>
          <w:b w:val="0"/>
          <w:bCs w:val="0"/>
          <w:sz w:val="44"/>
          <w:szCs w:val="44"/>
        </w:rPr>
        <w:t>“十三五”林业建设回顾</w:t>
      </w:r>
      <w:bookmarkEnd w:id="40"/>
      <w:bookmarkEnd w:id="41"/>
      <w:bookmarkEnd w:id="42"/>
      <w:bookmarkEnd w:id="43"/>
      <w:bookmarkEnd w:id="44"/>
      <w:bookmarkEnd w:id="45"/>
      <w:bookmarkEnd w:id="46"/>
      <w:bookmarkEnd w:id="47"/>
      <w:bookmarkEnd w:id="48"/>
    </w:p>
    <w:p w14:paraId="3C5F46C1">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rPr>
      </w:pPr>
    </w:p>
    <w:p w14:paraId="600EB50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不仅是安徽省重要林区，也是华东地区重要的生态屏障，具有“面积广、资源丰、物种多、生态好”的林情特点。“十三五”期间，在市委、市政府的坚强领导下，全市林业紧紧围绕打造生态文明建设安徽样板先行区目标，以林业增绿增效行动和全面建立林长制为抓手，着力深化改革，强化生态保护，培育森林资源，做大特色产业，有力促进了绿色质量提升、森林效益增强和生态文明彰显。多年来的林业生态建设，不断夯实着绿色本底，使“望得见山，看得见水，记得住乡愁”成为了黄山最鲜明的特征。</w:t>
      </w:r>
    </w:p>
    <w:p w14:paraId="3FE5C3E1">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ascii="黑体" w:hAnsi="黑体" w:eastAsia="黑体" w:cs="黑体"/>
          <w:b w:val="0"/>
          <w:bCs w:val="0"/>
        </w:rPr>
      </w:pPr>
      <w:bookmarkStart w:id="49" w:name="_Toc21018"/>
      <w:bookmarkStart w:id="50" w:name="_Toc190"/>
      <w:bookmarkStart w:id="51" w:name="_Toc15327"/>
      <w:bookmarkStart w:id="52" w:name="_Toc20834"/>
      <w:bookmarkStart w:id="53" w:name="_Toc31927"/>
      <w:bookmarkStart w:id="54" w:name="_Toc30323"/>
      <w:bookmarkStart w:id="55" w:name="_Toc16608"/>
      <w:bookmarkStart w:id="56" w:name="_Toc32119"/>
      <w:bookmarkStart w:id="57" w:name="_Toc3281"/>
      <w:r>
        <w:rPr>
          <w:rFonts w:hint="eastAsia" w:ascii="黑体" w:hAnsi="黑体" w:eastAsia="黑体" w:cs="黑体"/>
          <w:b w:val="0"/>
          <w:bCs w:val="0"/>
        </w:rPr>
        <w:t>一、目标完成情况</w:t>
      </w:r>
      <w:bookmarkEnd w:id="49"/>
      <w:bookmarkEnd w:id="50"/>
      <w:bookmarkEnd w:id="51"/>
      <w:bookmarkEnd w:id="52"/>
      <w:bookmarkEnd w:id="53"/>
      <w:bookmarkEnd w:id="54"/>
      <w:bookmarkEnd w:id="55"/>
      <w:bookmarkEnd w:id="56"/>
      <w:bookmarkEnd w:id="57"/>
    </w:p>
    <w:p w14:paraId="651E7DE0">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三五”期间，黄山市坚持目标导向，以保护林业生态和森林资源为基础，以森林质量提升和林业产业升级为核心，围绕森林覆盖率、林地面积等指标，全力推进林业各项工作，基本完成了“十三五”林业发展目标。</w:t>
      </w:r>
    </w:p>
    <w:p w14:paraId="60C884F6">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textAlignment w:val="auto"/>
        <w:rPr>
          <w:b/>
          <w:bCs/>
          <w:sz w:val="24"/>
          <w:szCs w:val="24"/>
        </w:rPr>
      </w:pPr>
      <w:r>
        <w:rPr>
          <w:rFonts w:hint="eastAsia" w:ascii="仿宋_GB2312" w:hAnsi="Times New Roman" w:eastAsia="仿宋_GB2312"/>
          <w:b/>
          <w:bCs/>
          <w:sz w:val="24"/>
          <w:szCs w:val="24"/>
          <w:lang w:val="zh-CN"/>
        </w:rPr>
        <w:t>表</w:t>
      </w:r>
      <w:r>
        <w:rPr>
          <w:rFonts w:hint="eastAsia" w:ascii="Times New Roman" w:hAnsi="Times New Roman" w:eastAsia="仿宋_GB2312"/>
          <w:b/>
          <w:bCs/>
          <w:sz w:val="24"/>
          <w:szCs w:val="24"/>
        </w:rPr>
        <w:t>2</w:t>
      </w:r>
      <w:r>
        <w:rPr>
          <w:rFonts w:ascii="Times New Roman" w:hAnsi="Times New Roman" w:eastAsia="仿宋_GB2312"/>
          <w:b/>
          <w:bCs/>
          <w:sz w:val="24"/>
          <w:szCs w:val="24"/>
          <w:lang w:val="zh-CN"/>
        </w:rPr>
        <w:t xml:space="preserve">-1 </w:t>
      </w:r>
      <w:r>
        <w:rPr>
          <w:rFonts w:hint="eastAsia" w:ascii="仿宋_GB2312" w:hAnsi="Times New Roman" w:eastAsia="仿宋_GB2312"/>
          <w:b/>
          <w:bCs/>
          <w:sz w:val="24"/>
          <w:szCs w:val="24"/>
          <w:lang w:val="zh-CN"/>
        </w:rPr>
        <w:t>黄山市“十三五”林业规划目标完成情况一览表</w:t>
      </w:r>
    </w:p>
    <w:tbl>
      <w:tblPr>
        <w:tblStyle w:val="20"/>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468"/>
        <w:gridCol w:w="1255"/>
        <w:gridCol w:w="1314"/>
        <w:gridCol w:w="1314"/>
        <w:gridCol w:w="1316"/>
      </w:tblGrid>
      <w:tr w14:paraId="79E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9" w:type="dxa"/>
            <w:vAlign w:val="center"/>
          </w:tcPr>
          <w:p w14:paraId="3BF59F8A">
            <w:pPr>
              <w:ind w:firstLine="0" w:firstLineChars="0"/>
              <w:jc w:val="center"/>
              <w:rPr>
                <w:rFonts w:ascii="宋体" w:hAnsi="宋体" w:eastAsia="宋体" w:cs="宋体"/>
                <w:b/>
                <w:bCs/>
                <w:sz w:val="20"/>
                <w:szCs w:val="20"/>
              </w:rPr>
            </w:pPr>
            <w:r>
              <w:rPr>
                <w:rFonts w:hint="eastAsia" w:ascii="仿宋_GB2312" w:hAnsi="Times New Roman" w:eastAsia="仿宋_GB2312"/>
                <w:b/>
                <w:bCs/>
                <w:sz w:val="21"/>
                <w:szCs w:val="21"/>
                <w:lang w:val="zh-CN"/>
              </w:rPr>
              <w:t>序号</w:t>
            </w:r>
          </w:p>
        </w:tc>
        <w:tc>
          <w:tcPr>
            <w:tcW w:w="2468" w:type="dxa"/>
            <w:vAlign w:val="center"/>
          </w:tcPr>
          <w:p w14:paraId="275EA954">
            <w:pPr>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指标</w:t>
            </w:r>
          </w:p>
        </w:tc>
        <w:tc>
          <w:tcPr>
            <w:tcW w:w="1255" w:type="dxa"/>
            <w:vAlign w:val="center"/>
          </w:tcPr>
          <w:p w14:paraId="05158B03">
            <w:pPr>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单位</w:t>
            </w:r>
          </w:p>
        </w:tc>
        <w:tc>
          <w:tcPr>
            <w:tcW w:w="1314" w:type="dxa"/>
            <w:vAlign w:val="center"/>
          </w:tcPr>
          <w:p w14:paraId="2E4366F6">
            <w:pPr>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现状</w:t>
            </w:r>
          </w:p>
        </w:tc>
        <w:tc>
          <w:tcPr>
            <w:tcW w:w="1314" w:type="dxa"/>
            <w:vAlign w:val="center"/>
          </w:tcPr>
          <w:p w14:paraId="44E6A65D">
            <w:pPr>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规划目标</w:t>
            </w:r>
          </w:p>
        </w:tc>
        <w:tc>
          <w:tcPr>
            <w:tcW w:w="1316" w:type="dxa"/>
            <w:vAlign w:val="center"/>
          </w:tcPr>
          <w:p w14:paraId="1941515D">
            <w:pPr>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完成情况</w:t>
            </w:r>
          </w:p>
        </w:tc>
      </w:tr>
      <w:tr w14:paraId="7DE5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02EB143B">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w:t>
            </w:r>
          </w:p>
        </w:tc>
        <w:tc>
          <w:tcPr>
            <w:tcW w:w="2468" w:type="dxa"/>
            <w:vAlign w:val="center"/>
          </w:tcPr>
          <w:p w14:paraId="1613EDAF">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森林覆盖率</w:t>
            </w:r>
          </w:p>
        </w:tc>
        <w:tc>
          <w:tcPr>
            <w:tcW w:w="1255" w:type="dxa"/>
            <w:vAlign w:val="center"/>
          </w:tcPr>
          <w:p w14:paraId="621CA749">
            <w:pPr>
              <w:ind w:firstLine="0" w:firstLineChars="0"/>
              <w:jc w:val="center"/>
              <w:rPr>
                <w:rFonts w:ascii="宋体" w:hAnsi="宋体" w:eastAsia="宋体" w:cs="宋体"/>
                <w:sz w:val="20"/>
                <w:szCs w:val="20"/>
              </w:rPr>
            </w:pPr>
            <w:r>
              <w:rPr>
                <w:rFonts w:ascii="Times New Roman" w:hAnsi="Times New Roman" w:eastAsia="仿宋_GB2312"/>
                <w:sz w:val="21"/>
                <w:szCs w:val="21"/>
                <w:lang w:val="zh-CN"/>
              </w:rPr>
              <w:t>%</w:t>
            </w:r>
          </w:p>
        </w:tc>
        <w:tc>
          <w:tcPr>
            <w:tcW w:w="1314" w:type="dxa"/>
            <w:vAlign w:val="center"/>
          </w:tcPr>
          <w:p w14:paraId="5FE71315">
            <w:pPr>
              <w:ind w:firstLine="0" w:firstLineChars="0"/>
              <w:jc w:val="center"/>
              <w:rPr>
                <w:rFonts w:ascii="宋体" w:hAnsi="宋体" w:eastAsia="宋体" w:cs="宋体"/>
                <w:sz w:val="20"/>
                <w:szCs w:val="20"/>
              </w:rPr>
            </w:pPr>
            <w:r>
              <w:rPr>
                <w:rFonts w:hint="eastAsia" w:ascii="Times New Roman" w:hAnsi="Times New Roman" w:eastAsia="仿宋_GB2312"/>
                <w:sz w:val="21"/>
                <w:szCs w:val="21"/>
                <w:lang w:val="zh-CN"/>
              </w:rPr>
              <w:t>82.9</w:t>
            </w:r>
          </w:p>
        </w:tc>
        <w:tc>
          <w:tcPr>
            <w:tcW w:w="1314" w:type="dxa"/>
            <w:vAlign w:val="center"/>
          </w:tcPr>
          <w:p w14:paraId="6AAFAC90">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82.9</w:t>
            </w:r>
          </w:p>
        </w:tc>
        <w:tc>
          <w:tcPr>
            <w:tcW w:w="1316" w:type="dxa"/>
            <w:vAlign w:val="center"/>
          </w:tcPr>
          <w:p w14:paraId="175BAD8B">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完成</w:t>
            </w:r>
          </w:p>
        </w:tc>
      </w:tr>
      <w:tr w14:paraId="6742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2C1B7EC8">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2</w:t>
            </w:r>
          </w:p>
        </w:tc>
        <w:tc>
          <w:tcPr>
            <w:tcW w:w="2468" w:type="dxa"/>
            <w:vAlign w:val="center"/>
          </w:tcPr>
          <w:p w14:paraId="30574622">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林地保有量</w:t>
            </w:r>
          </w:p>
        </w:tc>
        <w:tc>
          <w:tcPr>
            <w:tcW w:w="1255" w:type="dxa"/>
            <w:vAlign w:val="center"/>
          </w:tcPr>
          <w:p w14:paraId="3123DC4E">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万亩</w:t>
            </w:r>
          </w:p>
        </w:tc>
        <w:tc>
          <w:tcPr>
            <w:tcW w:w="1314" w:type="dxa"/>
            <w:vAlign w:val="center"/>
          </w:tcPr>
          <w:p w14:paraId="7A8B8667">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1249</w:t>
            </w:r>
          </w:p>
        </w:tc>
        <w:tc>
          <w:tcPr>
            <w:tcW w:w="1314" w:type="dxa"/>
            <w:vAlign w:val="center"/>
          </w:tcPr>
          <w:p w14:paraId="2B130203">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1248</w:t>
            </w:r>
          </w:p>
        </w:tc>
        <w:tc>
          <w:tcPr>
            <w:tcW w:w="1316" w:type="dxa"/>
            <w:vAlign w:val="center"/>
          </w:tcPr>
          <w:p w14:paraId="2066756C">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超额完成</w:t>
            </w:r>
          </w:p>
        </w:tc>
      </w:tr>
      <w:tr w14:paraId="3504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072A60F5">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3</w:t>
            </w:r>
          </w:p>
        </w:tc>
        <w:tc>
          <w:tcPr>
            <w:tcW w:w="2468" w:type="dxa"/>
            <w:vAlign w:val="center"/>
          </w:tcPr>
          <w:p w14:paraId="25929E58">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有林地面积</w:t>
            </w:r>
          </w:p>
        </w:tc>
        <w:tc>
          <w:tcPr>
            <w:tcW w:w="1255" w:type="dxa"/>
            <w:vAlign w:val="center"/>
          </w:tcPr>
          <w:p w14:paraId="458582EB">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万亩</w:t>
            </w:r>
          </w:p>
        </w:tc>
        <w:tc>
          <w:tcPr>
            <w:tcW w:w="1314" w:type="dxa"/>
            <w:vAlign w:val="center"/>
          </w:tcPr>
          <w:p w14:paraId="68E570EE">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1111</w:t>
            </w:r>
          </w:p>
        </w:tc>
        <w:tc>
          <w:tcPr>
            <w:tcW w:w="1314" w:type="dxa"/>
            <w:vAlign w:val="center"/>
          </w:tcPr>
          <w:p w14:paraId="3F968CE7">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1111</w:t>
            </w:r>
          </w:p>
        </w:tc>
        <w:tc>
          <w:tcPr>
            <w:tcW w:w="1316" w:type="dxa"/>
            <w:vAlign w:val="center"/>
          </w:tcPr>
          <w:p w14:paraId="55F07029">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完成</w:t>
            </w:r>
          </w:p>
        </w:tc>
      </w:tr>
      <w:tr w14:paraId="2130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7E024DFC">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rPr>
              <w:t>4</w:t>
            </w:r>
          </w:p>
        </w:tc>
        <w:tc>
          <w:tcPr>
            <w:tcW w:w="2468" w:type="dxa"/>
            <w:vAlign w:val="center"/>
          </w:tcPr>
          <w:p w14:paraId="724330F4">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湿地面积</w:t>
            </w:r>
          </w:p>
        </w:tc>
        <w:tc>
          <w:tcPr>
            <w:tcW w:w="1255" w:type="dxa"/>
            <w:vAlign w:val="center"/>
          </w:tcPr>
          <w:p w14:paraId="1A6B02A9">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万亩</w:t>
            </w:r>
          </w:p>
        </w:tc>
        <w:tc>
          <w:tcPr>
            <w:tcW w:w="1314" w:type="dxa"/>
            <w:vAlign w:val="center"/>
          </w:tcPr>
          <w:p w14:paraId="00DF6AE9">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33.18</w:t>
            </w:r>
          </w:p>
        </w:tc>
        <w:tc>
          <w:tcPr>
            <w:tcW w:w="1314" w:type="dxa"/>
            <w:vAlign w:val="center"/>
          </w:tcPr>
          <w:p w14:paraId="7AE07166">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33.18</w:t>
            </w:r>
          </w:p>
        </w:tc>
        <w:tc>
          <w:tcPr>
            <w:tcW w:w="1316" w:type="dxa"/>
            <w:vAlign w:val="center"/>
          </w:tcPr>
          <w:p w14:paraId="26CC01E6">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完成</w:t>
            </w:r>
          </w:p>
        </w:tc>
      </w:tr>
      <w:tr w14:paraId="5791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25F46744">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rPr>
              <w:t>5</w:t>
            </w:r>
          </w:p>
        </w:tc>
        <w:tc>
          <w:tcPr>
            <w:tcW w:w="2468" w:type="dxa"/>
            <w:vAlign w:val="center"/>
          </w:tcPr>
          <w:p w14:paraId="6FB02352">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国家公益林</w:t>
            </w:r>
          </w:p>
        </w:tc>
        <w:tc>
          <w:tcPr>
            <w:tcW w:w="1255" w:type="dxa"/>
            <w:vAlign w:val="center"/>
          </w:tcPr>
          <w:p w14:paraId="41FCEBFB">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万亩</w:t>
            </w:r>
          </w:p>
        </w:tc>
        <w:tc>
          <w:tcPr>
            <w:tcW w:w="1314" w:type="dxa"/>
            <w:vAlign w:val="center"/>
          </w:tcPr>
          <w:p w14:paraId="0C79103D">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440.2</w:t>
            </w:r>
          </w:p>
        </w:tc>
        <w:tc>
          <w:tcPr>
            <w:tcW w:w="1314" w:type="dxa"/>
            <w:vAlign w:val="center"/>
          </w:tcPr>
          <w:p w14:paraId="415E14B5">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440.2</w:t>
            </w:r>
          </w:p>
        </w:tc>
        <w:tc>
          <w:tcPr>
            <w:tcW w:w="1316" w:type="dxa"/>
            <w:vAlign w:val="center"/>
          </w:tcPr>
          <w:p w14:paraId="6313BF55">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完成</w:t>
            </w:r>
          </w:p>
        </w:tc>
      </w:tr>
      <w:tr w14:paraId="2C38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6EA66A12">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rPr>
              <w:t>6</w:t>
            </w:r>
          </w:p>
        </w:tc>
        <w:tc>
          <w:tcPr>
            <w:tcW w:w="2468" w:type="dxa"/>
            <w:vAlign w:val="center"/>
          </w:tcPr>
          <w:p w14:paraId="11AB07F8">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省级公益林</w:t>
            </w:r>
          </w:p>
        </w:tc>
        <w:tc>
          <w:tcPr>
            <w:tcW w:w="1255" w:type="dxa"/>
            <w:vAlign w:val="center"/>
          </w:tcPr>
          <w:p w14:paraId="61C5279A">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万亩</w:t>
            </w:r>
          </w:p>
        </w:tc>
        <w:tc>
          <w:tcPr>
            <w:tcW w:w="1314" w:type="dxa"/>
            <w:vAlign w:val="center"/>
          </w:tcPr>
          <w:p w14:paraId="1A181789">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95.02</w:t>
            </w:r>
          </w:p>
        </w:tc>
        <w:tc>
          <w:tcPr>
            <w:tcW w:w="1314" w:type="dxa"/>
            <w:vAlign w:val="center"/>
          </w:tcPr>
          <w:p w14:paraId="2A3D10E6">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92.8</w:t>
            </w:r>
          </w:p>
        </w:tc>
        <w:tc>
          <w:tcPr>
            <w:tcW w:w="1316" w:type="dxa"/>
            <w:vAlign w:val="center"/>
          </w:tcPr>
          <w:p w14:paraId="6995EC7A">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超额完成</w:t>
            </w:r>
          </w:p>
        </w:tc>
      </w:tr>
      <w:tr w14:paraId="5E0A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56EDD44B">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rPr>
              <w:t>7</w:t>
            </w:r>
          </w:p>
        </w:tc>
        <w:tc>
          <w:tcPr>
            <w:tcW w:w="2468" w:type="dxa"/>
            <w:vAlign w:val="center"/>
          </w:tcPr>
          <w:p w14:paraId="378EFB3B">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林业有害生物成灾率</w:t>
            </w:r>
          </w:p>
        </w:tc>
        <w:tc>
          <w:tcPr>
            <w:tcW w:w="1255" w:type="dxa"/>
            <w:vAlign w:val="center"/>
          </w:tcPr>
          <w:p w14:paraId="5FA3E8DF">
            <w:pPr>
              <w:ind w:firstLine="0" w:firstLineChars="0"/>
              <w:jc w:val="center"/>
              <w:rPr>
                <w:rFonts w:ascii="仿宋_GB2312" w:hAnsi="Times New Roman" w:eastAsia="仿宋_GB2312"/>
                <w:sz w:val="21"/>
                <w:szCs w:val="21"/>
                <w:lang w:val="zh-CN"/>
              </w:rPr>
            </w:pPr>
            <w:r>
              <w:rPr>
                <w:rFonts w:ascii="Times New Roman" w:hAnsi="Times New Roman" w:eastAsia="仿宋_GB2312"/>
                <w:sz w:val="21"/>
                <w:szCs w:val="21"/>
                <w:lang w:val="zh-CN"/>
              </w:rPr>
              <w:t>‰</w:t>
            </w:r>
          </w:p>
        </w:tc>
        <w:tc>
          <w:tcPr>
            <w:tcW w:w="1314" w:type="dxa"/>
            <w:vAlign w:val="center"/>
          </w:tcPr>
          <w:p w14:paraId="46B83EDB">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0.1</w:t>
            </w:r>
          </w:p>
        </w:tc>
        <w:tc>
          <w:tcPr>
            <w:tcW w:w="1314" w:type="dxa"/>
            <w:vAlign w:val="center"/>
          </w:tcPr>
          <w:p w14:paraId="491774C4">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2.7</w:t>
            </w:r>
          </w:p>
        </w:tc>
        <w:tc>
          <w:tcPr>
            <w:tcW w:w="1316" w:type="dxa"/>
            <w:vAlign w:val="center"/>
          </w:tcPr>
          <w:p w14:paraId="2BCFC0A4">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超额完成</w:t>
            </w:r>
          </w:p>
        </w:tc>
      </w:tr>
      <w:tr w14:paraId="615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vAlign w:val="center"/>
          </w:tcPr>
          <w:p w14:paraId="245FB624">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rPr>
              <w:t>8</w:t>
            </w:r>
          </w:p>
        </w:tc>
        <w:tc>
          <w:tcPr>
            <w:tcW w:w="2468" w:type="dxa"/>
            <w:vAlign w:val="center"/>
          </w:tcPr>
          <w:p w14:paraId="7BFDA375">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森林火灾受害率</w:t>
            </w:r>
          </w:p>
        </w:tc>
        <w:tc>
          <w:tcPr>
            <w:tcW w:w="1255" w:type="dxa"/>
            <w:vAlign w:val="center"/>
          </w:tcPr>
          <w:p w14:paraId="6F4077C5">
            <w:pPr>
              <w:ind w:firstLine="0" w:firstLineChars="0"/>
              <w:jc w:val="center"/>
              <w:rPr>
                <w:rFonts w:ascii="仿宋_GB2312" w:hAnsi="Times New Roman" w:eastAsia="仿宋_GB2312"/>
                <w:sz w:val="21"/>
                <w:szCs w:val="21"/>
                <w:lang w:val="zh-CN"/>
              </w:rPr>
            </w:pPr>
            <w:r>
              <w:rPr>
                <w:rFonts w:ascii="Times New Roman" w:hAnsi="Times New Roman" w:eastAsia="仿宋_GB2312"/>
                <w:sz w:val="21"/>
                <w:szCs w:val="21"/>
                <w:lang w:val="zh-CN"/>
              </w:rPr>
              <w:t>‰</w:t>
            </w:r>
          </w:p>
        </w:tc>
        <w:tc>
          <w:tcPr>
            <w:tcW w:w="1314" w:type="dxa"/>
            <w:vAlign w:val="center"/>
          </w:tcPr>
          <w:p w14:paraId="05CFFF78">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0.01</w:t>
            </w:r>
          </w:p>
        </w:tc>
        <w:tc>
          <w:tcPr>
            <w:tcW w:w="1314" w:type="dxa"/>
            <w:vAlign w:val="center"/>
          </w:tcPr>
          <w:p w14:paraId="766BA773">
            <w:pPr>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0.3</w:t>
            </w:r>
          </w:p>
        </w:tc>
        <w:tc>
          <w:tcPr>
            <w:tcW w:w="1316" w:type="dxa"/>
            <w:vAlign w:val="center"/>
          </w:tcPr>
          <w:p w14:paraId="7183C607">
            <w:pPr>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超额完成</w:t>
            </w:r>
          </w:p>
        </w:tc>
      </w:tr>
    </w:tbl>
    <w:p w14:paraId="7428404F">
      <w:pPr>
        <w:pStyle w:val="6"/>
        <w:pageBreakBefore w:val="0"/>
        <w:kinsoku/>
        <w:wordWrap/>
        <w:overflowPunct/>
        <w:topLinePunct w:val="0"/>
        <w:bidi w:val="0"/>
        <w:snapToGrid/>
        <w:spacing w:before="0" w:beforeLines="0" w:after="0" w:afterLines="0" w:line="560" w:lineRule="exact"/>
        <w:ind w:firstLine="640" w:firstLineChars="200"/>
        <w:jc w:val="left"/>
        <w:textAlignment w:val="auto"/>
        <w:rPr>
          <w:rFonts w:ascii="黑体" w:hAnsi="黑体" w:eastAsia="黑体" w:cs="黑体"/>
          <w:sz w:val="32"/>
          <w:szCs w:val="32"/>
        </w:rPr>
      </w:pPr>
      <w:bookmarkStart w:id="58" w:name="_Toc26264"/>
      <w:bookmarkStart w:id="59" w:name="_Toc7565"/>
      <w:bookmarkStart w:id="60" w:name="_Toc31929"/>
      <w:bookmarkStart w:id="61" w:name="_Toc6987"/>
      <w:bookmarkStart w:id="62" w:name="_Toc889"/>
      <w:bookmarkStart w:id="63" w:name="_Toc4128"/>
      <w:bookmarkStart w:id="64" w:name="_Toc2362"/>
      <w:bookmarkStart w:id="65" w:name="_Toc27220"/>
      <w:bookmarkStart w:id="66" w:name="_Toc13242"/>
      <w:r>
        <w:rPr>
          <w:rFonts w:hint="eastAsia" w:ascii="黑体" w:hAnsi="黑体" w:eastAsia="黑体" w:cs="黑体"/>
          <w:b w:val="0"/>
          <w:bCs w:val="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 w:val="0"/>
          <w:bCs w:val="0"/>
        </w:rPr>
        <w:instrText xml:space="preserve">ADDIN CNKISM.UserStyle</w:instrText>
      </w:r>
      <w:r>
        <w:rPr>
          <w:rFonts w:hint="eastAsia" w:ascii="黑体" w:hAnsi="黑体" w:eastAsia="黑体" w:cs="黑体"/>
          <w:b w:val="0"/>
          <w:bCs w:val="0"/>
        </w:rPr>
        <w:fldChar w:fldCharType="end"/>
      </w:r>
      <w:r>
        <w:rPr>
          <w:rFonts w:hint="eastAsia" w:ascii="黑体" w:hAnsi="黑体" w:eastAsia="黑体" w:cs="黑体"/>
          <w:b w:val="0"/>
          <w:bCs w:val="0"/>
        </w:rPr>
        <w:t>二、工作成效</w:t>
      </w:r>
      <w:bookmarkEnd w:id="58"/>
      <w:bookmarkEnd w:id="59"/>
      <w:bookmarkEnd w:id="60"/>
      <w:bookmarkEnd w:id="61"/>
      <w:bookmarkEnd w:id="62"/>
      <w:bookmarkEnd w:id="63"/>
      <w:bookmarkEnd w:id="64"/>
      <w:bookmarkEnd w:id="65"/>
      <w:bookmarkEnd w:id="66"/>
    </w:p>
    <w:p w14:paraId="698261C0">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（一）林长制改革迈出新步伐，林业改革发展活力不断增强。</w:t>
      </w:r>
      <w:r>
        <w:rPr>
          <w:rFonts w:hint="eastAsia" w:ascii="仿宋_GB2312" w:hAnsi="仿宋_GB2312" w:eastAsia="仿宋_GB2312" w:cs="仿宋_GB2312"/>
          <w:b w:val="0"/>
          <w:bCs/>
          <w:sz w:val="32"/>
          <w:szCs w:val="32"/>
          <w:lang w:val="zh-CN"/>
        </w:rPr>
        <w:t>黄山市把全面建立林长制作为贯彻落实习近平新时代中国特色社会主义思想和党的十九大精神的具体行动，作为落实新发展理念、推进绿色发展的有力抓手。结合林业大市实际，突出强化“五大体系”建设，推深做实林长制改革各项工作。</w:t>
      </w:r>
    </w:p>
    <w:p w14:paraId="445D1365">
      <w:pPr>
        <w:pageBreakBefore w:val="0"/>
        <w:widowControl/>
        <w:numPr>
          <w:ilvl w:val="255"/>
          <w:numId w:val="0"/>
        </w:numPr>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一是组织体系不断健全，制度体系逐步完善。</w:t>
      </w:r>
      <w:r>
        <w:rPr>
          <w:rFonts w:hint="eastAsia" w:ascii="仿宋_GB2312" w:hAnsi="仿宋_GB2312" w:eastAsia="仿宋_GB2312" w:cs="仿宋_GB2312"/>
          <w:sz w:val="32"/>
          <w:szCs w:val="32"/>
          <w:lang w:val="zh-CN"/>
        </w:rPr>
        <w:t>先后出台《关于全面建立林长制的实施意见》和《黄山市全面建立林长制工作方案》。市委、市政府主要领导亲自挂帅，市级领导担任总林长和副总林长，建立健全市、区县、乡镇和村四级林长责任制，基本形成纵向贯通、全面覆盖的四级林长工作网络。加强制度体系建设，细化成员单位职责，结合黄山实际，制定出台林长制会议、信息公开、督察巡查、目标考核等配套制度67个。</w:t>
      </w:r>
    </w:p>
    <w:p w14:paraId="60C6CF49">
      <w:pPr>
        <w:pageBreakBefore w:val="0"/>
        <w:widowControl/>
        <w:numPr>
          <w:ilvl w:val="255"/>
          <w:numId w:val="0"/>
        </w:numPr>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二是行动体系不断深化，林长制改革细化实化。</w:t>
      </w:r>
      <w:r>
        <w:rPr>
          <w:rFonts w:hint="eastAsia" w:ascii="仿宋_GB2312" w:hAnsi="仿宋_GB2312" w:eastAsia="仿宋_GB2312" w:cs="仿宋_GB2312"/>
          <w:sz w:val="32"/>
          <w:szCs w:val="32"/>
          <w:lang w:val="zh-CN"/>
        </w:rPr>
        <w:t>聚焦“护绿、增绿、管绿、用绿、活绿”五大任务，制定保护黄山松、林业增绿增效、深化林权制度改革、资源管理提升、添景添彩示范推广、林业脱贫攻坚、古树名木保护“七大行动”方案，确保林长制工作落地到位。全面建成“五个一”服务平台，建立“一林一档”2381份，编制“一林一策”1043个，确定“一林一技”技术员530人、“一林一警”</w:t>
      </w:r>
      <w:r>
        <w:rPr>
          <w:rFonts w:hint="eastAsia" w:ascii="仿宋_GB2312" w:hAnsi="仿宋_GB2312" w:eastAsia="仿宋_GB2312" w:cs="仿宋_GB2312"/>
          <w:sz w:val="32"/>
          <w:szCs w:val="32"/>
        </w:rPr>
        <w:t>责</w:t>
      </w:r>
      <w:r>
        <w:rPr>
          <w:rFonts w:hint="eastAsia" w:ascii="仿宋_GB2312" w:hAnsi="仿宋_GB2312" w:eastAsia="仿宋_GB2312" w:cs="仿宋_GB2312"/>
          <w:sz w:val="32"/>
          <w:szCs w:val="32"/>
          <w:lang w:val="zh-CN"/>
        </w:rPr>
        <w:t>任民警194人、“一林一员”护林员2496人，为各级林长履行职责提供服务。</w:t>
      </w:r>
    </w:p>
    <w:p w14:paraId="2232F633">
      <w:pPr>
        <w:pageBreakBefore w:val="0"/>
        <w:widowControl/>
        <w:kinsoku/>
        <w:wordWrap/>
        <w:overflowPunct/>
        <w:topLinePunct w:val="0"/>
        <w:bidi w:val="0"/>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三是保障体系持续完善，工作机制长效运行。</w:t>
      </w:r>
      <w:r>
        <w:rPr>
          <w:rFonts w:hint="eastAsia" w:ascii="仿宋_GB2312" w:hAnsi="仿宋_GB2312" w:eastAsia="仿宋_GB2312" w:cs="仿宋_GB2312"/>
          <w:sz w:val="32"/>
          <w:szCs w:val="32"/>
          <w:lang w:val="zh-CN"/>
        </w:rPr>
        <w:t>加大公益林生态补偿、林区道路等生态建设投入，将松材线虫病防治作为林长制工作的重要内容。《黄山市松材线虫病防治条例》经省人大批准，于2018年8月1日正式颁布施行。2019年12月20日黄山市出台了《黄山市林长制规定》，以立法的形式构建了责任明确、协调有序、监管严格、保护有力的林业生态保护管理机制，明确了各级林长工作职责，为压实各级林长林业生态保护与发展责任提供了有力的法律保障，推动林长制工作进入依法履职新阶段。</w:t>
      </w:r>
    </w:p>
    <w:p w14:paraId="3096FCB8">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（二）造林绿化取得新成效，林业生态建设不断加强。</w:t>
      </w:r>
    </w:p>
    <w:p w14:paraId="72025B9B">
      <w:pPr>
        <w:pageBreakBefore w:val="0"/>
        <w:widowControl/>
        <w:numPr>
          <w:ilvl w:val="255"/>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立足市情林情，推动造林绿化与全域旅游发展、美丽乡村建设、精准扶贫等有机结合，统筹推进千万亩森林增长工程，加快实施林业增绿增效行动，进一步夯实全市生态本底。</w:t>
      </w:r>
    </w:p>
    <w:p w14:paraId="691A1990">
      <w:pPr>
        <w:pageBreakBefore w:val="0"/>
        <w:widowControl/>
        <w:kinsoku/>
        <w:wordWrap/>
        <w:overflowPunct/>
        <w:topLinePunct w:val="0"/>
        <w:bidi w:val="0"/>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一是“千万亩森林增长工程”建设完美收官。</w:t>
      </w:r>
      <w:r>
        <w:rPr>
          <w:rFonts w:hint="eastAsia" w:ascii="仿宋_GB2312" w:hAnsi="仿宋_GB2312" w:eastAsia="仿宋_GB2312" w:cs="仿宋_GB2312"/>
          <w:sz w:val="32"/>
          <w:szCs w:val="32"/>
          <w:lang w:val="zh-CN"/>
        </w:rPr>
        <w:t>认真贯彻省委、省政府决策部署，扎实推进“千万亩森林增长工程”建设，全市共完成人工造林36.8万亩、封山育林53.9万亩，森林抚育89.1万亩，全市创建省级森林城市6个、省级森林城镇</w:t>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zh-CN"/>
        </w:rPr>
        <w:t>个、省级森林村庄</w:t>
      </w:r>
      <w:r>
        <w:rPr>
          <w:rFonts w:hint="eastAsia" w:ascii="仿宋_GB2312" w:hAnsi="仿宋_GB2312" w:eastAsia="仿宋_GB2312" w:cs="仿宋_GB2312"/>
          <w:sz w:val="32"/>
          <w:szCs w:val="32"/>
        </w:rPr>
        <w:t>456</w:t>
      </w:r>
      <w:r>
        <w:rPr>
          <w:rFonts w:hint="eastAsia" w:ascii="仿宋_GB2312" w:hAnsi="仿宋_GB2312" w:eastAsia="仿宋_GB2312" w:cs="仿宋_GB2312"/>
          <w:sz w:val="32"/>
          <w:szCs w:val="32"/>
          <w:lang w:val="zh-CN"/>
        </w:rPr>
        <w:t>个，建设森林长廊245千米。2019-2020年共完成四旁四边成片造林5464亩，完成道路、河流绿化204千米。</w:t>
      </w:r>
    </w:p>
    <w:p w14:paraId="42F5C55E">
      <w:pPr>
        <w:pageBreakBefore w:val="0"/>
        <w:widowControl/>
        <w:kinsoku/>
        <w:wordWrap/>
        <w:overflowPunct/>
        <w:topLinePunct w:val="0"/>
        <w:bidi w:val="0"/>
        <w:snapToGrid/>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rPr>
        <w:t>二是“林业增绿增效行动”加快推进。</w:t>
      </w:r>
      <w:r>
        <w:rPr>
          <w:rFonts w:hint="eastAsia" w:ascii="仿宋_GB2312" w:hAnsi="仿宋_GB2312" w:eastAsia="仿宋_GB2312" w:cs="仿宋_GB2312"/>
          <w:sz w:val="32"/>
          <w:szCs w:val="32"/>
          <w:lang w:val="zh-CN"/>
        </w:rPr>
        <w:t>制定《关于开展林业增绿增效行动的实施意见（2017-2021年）》。行动启动以来，共完成封山育林7.95万亩、森林抚育33.2万亩、退化林修复2.8万亩，建设省级森林抚育示范片20个。</w:t>
      </w:r>
    </w:p>
    <w:p w14:paraId="1A855A9B">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（三）资源保护呈现新气象，生态安全屏障不断巩固。</w:t>
      </w:r>
    </w:p>
    <w:p w14:paraId="425CA372">
      <w:pPr>
        <w:pageBreakBefore w:val="0"/>
        <w:widowControl/>
        <w:kinsoku/>
        <w:wordWrap/>
        <w:overflowPunct/>
        <w:topLinePunct w:val="0"/>
        <w:bidi w:val="0"/>
        <w:snapToGrid/>
        <w:spacing w:line="560" w:lineRule="exact"/>
        <w:ind w:firstLine="562"/>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一是自然保护地体系进一步健全。</w:t>
      </w:r>
      <w:r>
        <w:rPr>
          <w:rFonts w:hint="eastAsia" w:ascii="仿宋_GB2312" w:hAnsi="仿宋_GB2312" w:eastAsia="仿宋_GB2312" w:cs="仿宋_GB2312"/>
          <w:sz w:val="32"/>
          <w:szCs w:val="32"/>
          <w:lang w:val="zh-CN"/>
        </w:rPr>
        <w:t>全市国家级和省级各类自然保护地由18个增加到27个，县级自然保护地60个，自然保护地总面积为146.15万亩，占全市国土总面积的10.07%，初步形成了布局合理、生态效益显著的自然保护地体系。</w:t>
      </w:r>
    </w:p>
    <w:p w14:paraId="662439C1">
      <w:pPr>
        <w:pageBreakBefore w:val="0"/>
        <w:widowControl/>
        <w:kinsoku/>
        <w:wordWrap/>
        <w:overflowPunct/>
        <w:topLinePunct w:val="0"/>
        <w:bidi w:val="0"/>
        <w:snapToGrid/>
        <w:spacing w:line="560" w:lineRule="exact"/>
        <w:ind w:firstLine="562"/>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二是森林资源管理不断加强。</w:t>
      </w:r>
      <w:r>
        <w:rPr>
          <w:rFonts w:hint="eastAsia" w:ascii="仿宋_GB2312" w:hAnsi="仿宋_GB2312" w:eastAsia="仿宋_GB2312" w:cs="仿宋_GB2312"/>
          <w:sz w:val="32"/>
          <w:szCs w:val="32"/>
          <w:lang w:val="zh-CN"/>
        </w:rPr>
        <w:t>建立保护发展森林资源目标责任制考核制度；加强征占用林地管理，认真执行前期审查、专家评审、占补平衡、现场查验和定额管理制度，坚决制止毁林开垦和乱占林地行为，确保林地征占用控制在定额以内；规范林木采伐管理，确保年森林资源消耗量控制在省政府下达任务目标以内。</w:t>
      </w:r>
    </w:p>
    <w:p w14:paraId="49B34FBC">
      <w:pPr>
        <w:pageBreakBefore w:val="0"/>
        <w:widowControl/>
        <w:kinsoku/>
        <w:wordWrap/>
        <w:overflowPunct/>
        <w:topLinePunct w:val="0"/>
        <w:bidi w:val="0"/>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三是林业有害生物防控坚决有力。</w:t>
      </w:r>
      <w:r>
        <w:rPr>
          <w:rFonts w:hint="eastAsia" w:ascii="仿宋_GB2312" w:hAnsi="仿宋_GB2312" w:eastAsia="仿宋_GB2312" w:cs="仿宋_GB2312"/>
          <w:sz w:val="32"/>
          <w:szCs w:val="32"/>
          <w:lang w:val="zh-CN"/>
        </w:rPr>
        <w:t>“十三五”期间，黄山市把防治松材线虫病作为生态建设“1号工程”来抓，成立党政主要负责同志挂帅的防疫指挥部，严格实行松材线虫病防控责任制，将防控工作纳入政府目标管理考核，按月调度督办、定期分析研判，防治资金纳入各级财政预算。构建全覆盖网格化监测普查体系，每年春秋两季对市域范围松林进行全面监测普查，确保情况清、底数明。实施精准防治，采取以清理枯死松树为核心措施，以树干注药、媒介昆虫化学防治等为辅助措施的综合防治策略。颁布施行全国地级首部地方性法规《黄山市松材线虫病防治条例》，划定公布重点预防区，开展疫木检疫执法行动，严格落实松科植物及其制品管控规定。推进落实环黄山风景区毗连区松材线虫病联防联治工作制度。</w:t>
      </w:r>
    </w:p>
    <w:p w14:paraId="4BB5F353">
      <w:pPr>
        <w:pageBreakBefore w:val="0"/>
        <w:widowControl/>
        <w:kinsoku/>
        <w:wordWrap/>
        <w:overflowPunct/>
        <w:topLinePunct w:val="0"/>
        <w:bidi w:val="0"/>
        <w:snapToGrid/>
        <w:spacing w:line="560" w:lineRule="exact"/>
        <w:ind w:firstLine="562"/>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四是森林防火工作成效明显。</w:t>
      </w:r>
      <w:r>
        <w:rPr>
          <w:rFonts w:hint="eastAsia" w:ascii="仿宋_GB2312" w:hAnsi="仿宋_GB2312" w:eastAsia="仿宋_GB2312" w:cs="仿宋_GB2312"/>
          <w:sz w:val="32"/>
          <w:szCs w:val="32"/>
          <w:lang w:val="zh-CN"/>
        </w:rPr>
        <w:t>全市森林火灾受害率年均控制在0.01‰以内，远低于省政府规定的0.5‰工作目标。黄山风景区实现连续41年无森林火灾发生。黄山市林业局被国家林业和草原局授予“2016－2018年度全国森林防火工作先进单位”。</w:t>
      </w:r>
    </w:p>
    <w:p w14:paraId="34A6142F">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（四）绿色经济迈出新步伐，林业产业结构持续优化。</w:t>
      </w:r>
    </w:p>
    <w:p w14:paraId="6E76875D">
      <w:pPr>
        <w:pageBreakBefore w:val="0"/>
        <w:widowControl/>
        <w:kinsoku/>
        <w:wordWrap/>
        <w:overflowPunct/>
        <w:topLinePunct w:val="0"/>
        <w:bidi w:val="0"/>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按照“林业产业生态化、林业生态产业化”的总体要求，积极发展木、竹、油茶、林下经济、森林旅游等产业，加快推进现代林业建设步伐。</w:t>
      </w:r>
    </w:p>
    <w:p w14:paraId="1E7A88F3">
      <w:pPr>
        <w:pageBreakBefore w:val="0"/>
        <w:widowControl/>
        <w:kinsoku/>
        <w:wordWrap/>
        <w:overflowPunct/>
        <w:topLinePunct w:val="0"/>
        <w:bidi w:val="0"/>
        <w:snapToGrid/>
        <w:spacing w:line="560" w:lineRule="exact"/>
        <w:ind w:firstLine="562"/>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一是第一产业持续加强。</w:t>
      </w:r>
      <w:r>
        <w:rPr>
          <w:rFonts w:hint="eastAsia" w:ascii="仿宋_GB2312" w:hAnsi="仿宋_GB2312" w:eastAsia="仿宋_GB2312" w:cs="仿宋_GB2312"/>
          <w:sz w:val="32"/>
          <w:szCs w:val="32"/>
          <w:lang w:val="zh-CN"/>
        </w:rPr>
        <w:t>大力推进油茶等木本油料林、速生丰产林、笋竹两用林、绿化苗木四大基地建设，全市现已建成杉、松等为主要树种的用材林基地430万亩，油茶、香榧、山核桃等木本油料林面积48万亩，竹林115万亩，各类苗木基地7.98万亩。</w:t>
      </w:r>
    </w:p>
    <w:p w14:paraId="74EFF592">
      <w:pPr>
        <w:pageBreakBefore w:val="0"/>
        <w:kinsoku/>
        <w:wordWrap/>
        <w:overflowPunct/>
        <w:topLinePunct w:val="0"/>
        <w:autoSpaceDE w:val="0"/>
        <w:autoSpaceDN w:val="0"/>
        <w:bidi w:val="0"/>
        <w:adjustRightInd w:val="0"/>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二是第二产业平稳发展。</w:t>
      </w:r>
      <w:r>
        <w:rPr>
          <w:rFonts w:hint="eastAsia" w:ascii="仿宋_GB2312" w:hAnsi="仿宋_GB2312" w:eastAsia="仿宋_GB2312" w:cs="仿宋_GB2312"/>
          <w:sz w:val="32"/>
          <w:szCs w:val="32"/>
          <w:lang w:val="zh-CN"/>
        </w:rPr>
        <w:t>全市现有林业加工企业623家，市级以上林业龙头企业达96家，建立基地62.5万亩，带动农户15.2万户。目前已打造了徽山食用油、裕籽贵茶油、宏村油茶、爱娟山核桃、祁竹、长林木竹产品、水榭花乡水培花卉、黄山巧明贡榧等特色林产品品牌。</w:t>
      </w:r>
    </w:p>
    <w:p w14:paraId="558521DC">
      <w:pPr>
        <w:pageBreakBefore w:val="0"/>
        <w:kinsoku/>
        <w:wordWrap/>
        <w:overflowPunct/>
        <w:topLinePunct w:val="0"/>
        <w:autoSpaceDE w:val="0"/>
        <w:autoSpaceDN w:val="0"/>
        <w:bidi w:val="0"/>
        <w:adjustRightInd w:val="0"/>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三是第三产业势头强劲。</w:t>
      </w:r>
      <w:r>
        <w:rPr>
          <w:rFonts w:hint="eastAsia" w:ascii="仿宋_GB2312" w:hAnsi="仿宋_GB2312" w:eastAsia="仿宋_GB2312" w:cs="仿宋_GB2312"/>
          <w:sz w:val="32"/>
          <w:szCs w:val="32"/>
          <w:lang w:val="zh-CN"/>
        </w:rPr>
        <w:t>依托黄山市丰富的旅游资源，已开发形成森林旅游景区景点20多处，经营面积68.5万亩，拥有省级“森林旅游人家”74家、市级“林业+旅游”示范点22处。20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年全市森林旅游景区景点接待游客</w:t>
      </w:r>
      <w:r>
        <w:rPr>
          <w:rFonts w:hint="eastAsia" w:ascii="仿宋_GB2312" w:hAnsi="仿宋_GB2312" w:eastAsia="仿宋_GB2312" w:cs="仿宋_GB2312"/>
          <w:sz w:val="32"/>
          <w:szCs w:val="32"/>
        </w:rPr>
        <w:t>2985</w:t>
      </w:r>
      <w:r>
        <w:rPr>
          <w:rFonts w:hint="eastAsia" w:ascii="仿宋_GB2312" w:hAnsi="仿宋_GB2312" w:eastAsia="仿宋_GB2312" w:cs="仿宋_GB2312"/>
          <w:sz w:val="32"/>
          <w:szCs w:val="32"/>
          <w:lang w:val="zh-CN"/>
        </w:rPr>
        <w:t>万人次，实现收入</w:t>
      </w:r>
      <w:r>
        <w:rPr>
          <w:rFonts w:hint="eastAsia" w:ascii="仿宋_GB2312" w:hAnsi="仿宋_GB2312" w:eastAsia="仿宋_GB2312" w:cs="仿宋_GB2312"/>
          <w:sz w:val="32"/>
          <w:szCs w:val="32"/>
        </w:rPr>
        <w:t>133.6</w:t>
      </w:r>
      <w:r>
        <w:rPr>
          <w:rFonts w:hint="eastAsia" w:ascii="仿宋_GB2312" w:hAnsi="仿宋_GB2312" w:eastAsia="仿宋_GB2312" w:cs="仿宋_GB2312"/>
          <w:sz w:val="32"/>
          <w:szCs w:val="32"/>
          <w:lang w:val="zh-CN"/>
        </w:rPr>
        <w:t>亿元、同比增长</w:t>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lang w:val="zh-CN"/>
        </w:rPr>
        <w:t>%。</w:t>
      </w:r>
    </w:p>
    <w:p w14:paraId="4DB821B0">
      <w:pPr>
        <w:pageBreakBefore w:val="0"/>
        <w:kinsoku/>
        <w:wordWrap/>
        <w:overflowPunct/>
        <w:topLinePunct w:val="0"/>
        <w:autoSpaceDE w:val="0"/>
        <w:autoSpaceDN w:val="0"/>
        <w:bidi w:val="0"/>
        <w:adjustRightInd w:val="0"/>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四是林下经济蓬勃兴起。</w:t>
      </w:r>
      <w:r>
        <w:rPr>
          <w:rFonts w:hint="eastAsia" w:ascii="仿宋_GB2312" w:hAnsi="仿宋_GB2312" w:eastAsia="仿宋_GB2312" w:cs="仿宋_GB2312"/>
          <w:sz w:val="32"/>
          <w:szCs w:val="32"/>
          <w:lang w:val="zh-CN"/>
        </w:rPr>
        <w:t>各区县结合林情实际和资源条件，采取林菌、林药、林蜂、林果、林草、林花等多种模式，多元化组合发展，黄山区、休宁县、黄山峰源生物科技有限公司入选全国林下经济发展示范基地。20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年全市林下经济产值近</w:t>
      </w:r>
      <w:r>
        <w:rPr>
          <w:rFonts w:hint="eastAsia" w:ascii="仿宋_GB2312" w:hAnsi="仿宋_GB2312" w:eastAsia="仿宋_GB2312" w:cs="仿宋_GB2312"/>
          <w:sz w:val="32"/>
          <w:szCs w:val="32"/>
        </w:rPr>
        <w:t>176.5</w:t>
      </w:r>
      <w:r>
        <w:rPr>
          <w:rFonts w:hint="eastAsia" w:ascii="仿宋_GB2312" w:hAnsi="仿宋_GB2312" w:eastAsia="仿宋_GB2312" w:cs="仿宋_GB2312"/>
          <w:sz w:val="32"/>
          <w:szCs w:val="32"/>
          <w:lang w:val="zh-CN"/>
        </w:rPr>
        <w:t>亿元，同比增长1</w:t>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val="zh-CN"/>
        </w:rPr>
        <w:t>。</w:t>
      </w:r>
    </w:p>
    <w:p w14:paraId="4BFC8237">
      <w:pPr>
        <w:pageBreakBefore w:val="0"/>
        <w:kinsoku/>
        <w:wordWrap/>
        <w:overflowPunct/>
        <w:topLinePunct w:val="0"/>
        <w:autoSpaceDE w:val="0"/>
        <w:autoSpaceDN w:val="0"/>
        <w:bidi w:val="0"/>
        <w:adjustRightInd w:val="0"/>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五是精准扶贫深入推进。</w:t>
      </w:r>
      <w:r>
        <w:rPr>
          <w:rFonts w:hint="eastAsia" w:ascii="仿宋_GB2312" w:hAnsi="仿宋_GB2312" w:eastAsia="仿宋_GB2312" w:cs="仿宋_GB2312"/>
          <w:sz w:val="32"/>
          <w:szCs w:val="32"/>
          <w:lang w:val="zh-CN"/>
        </w:rPr>
        <w:t>“十三五”以来，全市新发展香榧、山核桃、油茶、毛竹等木本油料和特色经济林2万亩。在贫困村打造林业特色产业基地74个、面积2.58万亩。新一轮退耕还林向贫困村、贫困户倾斜，共有2638户贫困户参与工程建设。在天然林保护、公益林管护、护林防火等生态保护用工中，优先聘用有劳动能力的贫困人口为生态护林员。目前，全市已选聘1200名建档立卡贫困户生态护林员，人均年收入8000元，加快推进绿色富民步伐，促进了林业发展和脱贫攻坚的有机统一。</w:t>
      </w:r>
    </w:p>
    <w:p w14:paraId="7D691FEB">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（五）林权制度改革实现新突破，林业发展后劲不断激发。</w:t>
      </w:r>
      <w:r>
        <w:rPr>
          <w:rFonts w:hint="eastAsia" w:ascii="仿宋_GB2312" w:hAnsi="仿宋_GB2312" w:eastAsia="仿宋_GB2312" w:cs="仿宋_GB2312"/>
          <w:b w:val="0"/>
          <w:bCs/>
          <w:sz w:val="32"/>
          <w:szCs w:val="32"/>
          <w:lang w:val="zh-CN"/>
        </w:rPr>
        <w:t>围绕全面深化改革，不断创新林业治理体系，进一步激发林业发展活力、释放改革红利。</w:t>
      </w:r>
    </w:p>
    <w:p w14:paraId="5987763D">
      <w:pPr>
        <w:pageBreakBefore w:val="0"/>
        <w:numPr>
          <w:ilvl w:val="255"/>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一是国有林场改革全面完成。</w:t>
      </w:r>
      <w:r>
        <w:rPr>
          <w:rFonts w:hint="eastAsia" w:ascii="仿宋_GB2312" w:hAnsi="仿宋_GB2312" w:eastAsia="仿宋_GB2312" w:cs="仿宋_GB2312"/>
          <w:sz w:val="32"/>
          <w:szCs w:val="32"/>
          <w:lang w:val="zh-CN"/>
        </w:rPr>
        <w:t>全市19个国有林场改革后整合为9个公益性事业林场和1个公益性企业林场，全面完成定性、定经费、定编、岗位设置、落实社会保障等工作。推进国有林场林区道路建设，建成国有林场林区道路79.03千米。</w:t>
      </w:r>
    </w:p>
    <w:p w14:paraId="1DAC5626">
      <w:pPr>
        <w:pageBreakBefore w:val="0"/>
        <w:numPr>
          <w:ilvl w:val="255"/>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二是林权交易与服务体系建设卓有成效。</w:t>
      </w:r>
      <w:r>
        <w:rPr>
          <w:rFonts w:hint="eastAsia" w:ascii="仿宋_GB2312" w:hAnsi="仿宋_GB2312" w:eastAsia="仿宋_GB2312" w:cs="仿宋_GB2312"/>
          <w:sz w:val="32"/>
          <w:szCs w:val="32"/>
          <w:lang w:val="zh-CN"/>
        </w:rPr>
        <w:t>坚持把做大做强做活江南林交所作为推进乡村振兴、深化改革和服务三农的有效抓手，出台《黄山市集体林权流转交易规则（试行）》，加快构建了全省统一、规范有序、公开透明、市县联网、服务高效的农村产权交易平台。在市级和各区县建立了集林业信息发布、政策技术咨询、木材运输办证、行政审批等为一体的林权管理服务中心，并实现全市联网，方便群众办事。</w:t>
      </w:r>
    </w:p>
    <w:p w14:paraId="1AFCFE7C">
      <w:pPr>
        <w:pageBreakBefore w:val="0"/>
        <w:numPr>
          <w:ilvl w:val="255"/>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三是林权抵押贷款和政策性森林保险不断扩大。</w:t>
      </w:r>
      <w:r>
        <w:rPr>
          <w:rFonts w:hint="eastAsia" w:ascii="仿宋_GB2312" w:hAnsi="仿宋_GB2312" w:eastAsia="仿宋_GB2312" w:cs="仿宋_GB2312"/>
          <w:sz w:val="32"/>
          <w:szCs w:val="32"/>
          <w:lang w:val="zh-CN"/>
        </w:rPr>
        <w:t>截至</w:t>
      </w:r>
      <w:r>
        <w:rPr>
          <w:rFonts w:hint="eastAsia" w:ascii="仿宋_GB2312" w:hAnsi="仿宋_GB2312" w:eastAsia="仿宋_GB2312" w:cs="仿宋_GB2312"/>
          <w:sz w:val="32"/>
          <w:szCs w:val="32"/>
        </w:rPr>
        <w:t>2020年末，</w:t>
      </w:r>
      <w:r>
        <w:rPr>
          <w:rFonts w:hint="eastAsia" w:ascii="仿宋_GB2312" w:hAnsi="仿宋_GB2312" w:eastAsia="仿宋_GB2312" w:cs="仿宋_GB2312"/>
          <w:sz w:val="32"/>
          <w:szCs w:val="32"/>
          <w:lang w:val="zh-CN"/>
        </w:rPr>
        <w:t>全市林权抵押贷款累计达</w:t>
      </w:r>
      <w:r>
        <w:rPr>
          <w:rFonts w:hint="eastAsia" w:ascii="仿宋_GB2312" w:hAnsi="仿宋_GB2312" w:eastAsia="仿宋_GB2312" w:cs="仿宋_GB2312"/>
          <w:sz w:val="32"/>
          <w:szCs w:val="32"/>
        </w:rPr>
        <w:t>5358</w:t>
      </w:r>
      <w:r>
        <w:rPr>
          <w:rFonts w:hint="eastAsia" w:ascii="仿宋_GB2312" w:hAnsi="仿宋_GB2312" w:eastAsia="仿宋_GB2312" w:cs="仿宋_GB2312"/>
          <w:sz w:val="32"/>
          <w:szCs w:val="32"/>
          <w:lang w:val="zh-CN"/>
        </w:rPr>
        <w:t>宗、抵押面积14</w:t>
      </w:r>
      <w:r>
        <w:rPr>
          <w:rFonts w:hint="eastAsia" w:ascii="仿宋_GB2312" w:hAnsi="仿宋_GB2312" w:eastAsia="仿宋_GB2312" w:cs="仿宋_GB2312"/>
          <w:sz w:val="32"/>
          <w:szCs w:val="32"/>
        </w:rPr>
        <w:t>9.4</w:t>
      </w:r>
      <w:r>
        <w:rPr>
          <w:rFonts w:hint="eastAsia" w:ascii="仿宋_GB2312" w:hAnsi="仿宋_GB2312" w:eastAsia="仿宋_GB2312" w:cs="仿宋_GB2312"/>
          <w:sz w:val="32"/>
          <w:szCs w:val="32"/>
          <w:lang w:val="zh-CN"/>
        </w:rPr>
        <w:t>万亩、贷款金额</w:t>
      </w:r>
      <w:r>
        <w:rPr>
          <w:rFonts w:hint="eastAsia" w:ascii="仿宋_GB2312" w:hAnsi="仿宋_GB2312" w:eastAsia="仿宋_GB2312" w:cs="仿宋_GB2312"/>
          <w:sz w:val="32"/>
          <w:szCs w:val="32"/>
        </w:rPr>
        <w:t>31.5</w:t>
      </w:r>
      <w:r>
        <w:rPr>
          <w:rFonts w:hint="eastAsia" w:ascii="仿宋_GB2312" w:hAnsi="仿宋_GB2312" w:eastAsia="仿宋_GB2312" w:cs="仿宋_GB2312"/>
          <w:sz w:val="32"/>
          <w:szCs w:val="32"/>
          <w:lang w:val="zh-CN"/>
        </w:rPr>
        <w:t>亿元；535万亩生态公益林实现应保全保；商品林实现愿保尽保，总投保面积达1068万亩。</w:t>
      </w:r>
    </w:p>
    <w:p w14:paraId="3B2FBA7B">
      <w:pPr>
        <w:pageBreakBefore w:val="0"/>
        <w:numPr>
          <w:ilvl w:val="255"/>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四是新型林业经营主体培育成效显著。</w:t>
      </w:r>
      <w:r>
        <w:rPr>
          <w:rFonts w:hint="eastAsia" w:ascii="仿宋_GB2312" w:hAnsi="仿宋_GB2312" w:eastAsia="仿宋_GB2312" w:cs="仿宋_GB2312"/>
          <w:sz w:val="32"/>
          <w:szCs w:val="32"/>
          <w:lang w:val="zh-CN"/>
        </w:rPr>
        <w:t>以歙县、黄山区被列为首批全国农民林业专业合作社示范县为契机，着力发展林业各类专业合作社。“十三五”期间，全市各类林业专业合作社由200个发展到441个，其中国家级示范社7家，省级示范社3</w:t>
      </w:r>
      <w:r>
        <w:rPr>
          <w:rFonts w:hint="eastAsia" w:ascii="仿宋_GB2312" w:hAnsi="仿宋_GB2312" w:eastAsia="仿宋_GB2312" w:cs="仿宋_GB2312"/>
          <w:sz w:val="32"/>
          <w:szCs w:val="32"/>
        </w:rPr>
        <w:t>5家</w:t>
      </w:r>
      <w:r>
        <w:rPr>
          <w:rFonts w:hint="eastAsia" w:ascii="仿宋_GB2312" w:hAnsi="仿宋_GB2312" w:eastAsia="仿宋_GB2312" w:cs="仿宋_GB2312"/>
          <w:sz w:val="32"/>
          <w:szCs w:val="32"/>
          <w:lang w:val="zh-CN"/>
        </w:rPr>
        <w:t>，经营规模达43.6万亩，带动农户8.8万户，有力提升了林业组织化专业程度。</w:t>
      </w:r>
      <w:bookmarkStart w:id="67" w:name="_Toc21632"/>
      <w:bookmarkStart w:id="68" w:name="_Toc11286"/>
      <w:bookmarkStart w:id="69" w:name="_Toc10905"/>
      <w:bookmarkStart w:id="70" w:name="_Toc22287"/>
      <w:bookmarkStart w:id="71" w:name="_Toc25681"/>
      <w:bookmarkStart w:id="72" w:name="_Toc20814"/>
      <w:bookmarkStart w:id="73" w:name="_Toc24941"/>
      <w:bookmarkStart w:id="74" w:name="_Toc8579"/>
      <w:bookmarkStart w:id="75" w:name="_Toc3914"/>
    </w:p>
    <w:p w14:paraId="0B051689">
      <w:pPr>
        <w:pageBreakBefore w:val="0"/>
        <w:numPr>
          <w:ilvl w:val="0"/>
          <w:numId w:val="4"/>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存在问题</w:t>
      </w:r>
      <w:bookmarkEnd w:id="67"/>
      <w:bookmarkEnd w:id="68"/>
      <w:bookmarkEnd w:id="69"/>
      <w:bookmarkEnd w:id="70"/>
      <w:bookmarkEnd w:id="71"/>
      <w:bookmarkEnd w:id="72"/>
      <w:bookmarkEnd w:id="73"/>
      <w:bookmarkEnd w:id="74"/>
      <w:bookmarkEnd w:id="75"/>
    </w:p>
    <w:p w14:paraId="49449247">
      <w:pPr>
        <w:pageBreakBefore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rPr>
        <w:t>（一）森林结构不合理，经营管理水平有待进一步提高</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全市林地面积、活立木蓄积量总量较大但分布不均。森林群落结构较为丰富，但马尾松、杉木等少数树种组成的纯林占比较大，森林生态系统稳定性不强，抗病虫害能力不足，涵养水源和保持水土能力不强，森林生态防护效能难以充分发挥。</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森林经营管理水平不高，近自然森林经营经验缺乏。公益林中的天然次生林多采用割灌除草等经营措施，虽每年均能完成计划任务，但森林经营管理质量无法保证。要学习近自然森林经营理念，顺应自然，利用自然，通过针对性森林抚育经营等人工辅助技术手段，精准提高森林质量，增加森林的生物多样性，实现森林的可持续经营和发展。</w:t>
      </w:r>
    </w:p>
    <w:p w14:paraId="19D2D304">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（二）森林资源管护任务重，自然保护地体系亟须完善。</w:t>
      </w:r>
      <w:r>
        <w:rPr>
          <w:rFonts w:hint="eastAsia" w:ascii="仿宋_GB2312" w:hAnsi="仿宋_GB2312" w:eastAsia="仿宋_GB2312" w:cs="仿宋_GB2312"/>
          <w:b w:val="0"/>
          <w:bCs/>
          <w:sz w:val="32"/>
          <w:szCs w:val="32"/>
          <w:lang w:val="zh-CN"/>
        </w:rPr>
        <w:t>全市森林资源丰富，古树名木数量多，占全省古树名木总数的37.6%；湿地面积大，依然受到城市建设、环境污染等影响；国家一、二级保护野生动植物种类多分布广，违规使用林地、盗伐林地以及其他破坏林地、林木现象依然存在，基层保护管理人员及执法力量有待进一步充实加强，森林资源保护管理任务较重。全市自然保护地点多面广，近年来省、市、县各级加大了对自然保护地体系建设方面投入，但基础设施落后、总体经费投入不足等问题仍突出。部分县级自然保护区缺乏专门管理机构与专业人才，存在管理不规范问题。多数县级自然保护区分布在城镇、村庄周围，存在零碎片现象，林权也归当地社区集体所有，村民生产活动频繁，保护管理矛盾突出。</w:t>
      </w:r>
    </w:p>
    <w:p w14:paraId="192A4640">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（三）林业基础设施建设薄弱，保护与利用矛盾突出。</w:t>
      </w:r>
    </w:p>
    <w:p w14:paraId="70E057D7">
      <w:pPr>
        <w:pageBreakBefore w:val="0"/>
        <w:kinsoku/>
        <w:wordWrap/>
        <w:overflowPunct/>
        <w:topLinePunct w:val="0"/>
        <w:autoSpaceDE w:val="0"/>
        <w:autoSpaceDN w:val="0"/>
        <w:bidi w:val="0"/>
        <w:adjustRightInd w:val="0"/>
        <w:snapToGrid/>
        <w:spacing w:line="560" w:lineRule="exact"/>
        <w:ind w:left="0" w:leftChars="0" w:firstLine="0" w:firstLineChars="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过多年努力，林业发展已从生产木材为主向生态建设为主转变，但与之配套的林业信息化、林业生态监测、林区防火道路、林木良种基地等建设仍不健全。林业基层队伍薄弱，林技队伍和护林员队伍存在老龄化现象，专业人才和储备力量后继不足，为民服务和管理能力有待进一步加强。当前黄山市正处于快速发展重要阶段，林地既要满足人们日益增长的生态需求，又要满足经济社会快速发展对建设用地的需要，使得林地保护与利用的矛盾相对突出。如何保障在森林提供生态服务能力不降低的情况下，协调好森林资源保护与发展之间的关系将是下一步林业发展需要重点解决的问题。</w:t>
      </w:r>
    </w:p>
    <w:p w14:paraId="621A6A7A">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仿宋_GB2312" w:hAnsi="仿宋_GB2312" w:eastAsia="仿宋_GB2312" w:cs="仿宋_GB2312"/>
          <w:b w:val="0"/>
          <w:bCs/>
          <w:color w:val="FF0000"/>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（四）松材线虫病防控形势依然严峻，松林资源保护压力较大。</w:t>
      </w:r>
      <w:r>
        <w:rPr>
          <w:rFonts w:hint="eastAsia" w:ascii="仿宋_GB2312" w:hAnsi="仿宋_GB2312" w:eastAsia="仿宋_GB2312" w:cs="仿宋_GB2312"/>
          <w:b w:val="0"/>
          <w:bCs/>
          <w:sz w:val="32"/>
          <w:szCs w:val="32"/>
          <w:lang w:val="zh-CN"/>
        </w:rPr>
        <w:t>目前黄山市三区四县均为松材线虫病疫区，松材线虫病防控形势依然严峻。一是早期发现难。由于松材线虫病潜伏期诊断技术尚未突破，目前主要采取目测或者使用望远镜等方法观测，对出现松针变色症状的松树取样鉴定，确认是否感染松材线虫病。而部分松材线虫侵入树体后有近1-2年的潜伏期，松树感染以后当年不发病，外表与健康松树无异，这种病树凭肉眼很难辨别。二是防治难度大。松树一旦染病，只能采取清除枯（病）死松树、化学防治等措施来控制传播媒介昆虫，松材线虫病根治技术攻关尚无突破。</w:t>
      </w:r>
    </w:p>
    <w:p w14:paraId="38B0F2A8">
      <w:pPr>
        <w:pStyle w:val="6"/>
        <w:pageBreakBefore w:val="0"/>
        <w:numPr>
          <w:ilvl w:val="255"/>
          <w:numId w:val="0"/>
        </w:numPr>
        <w:kinsoku/>
        <w:wordWrap/>
        <w:overflowPunct/>
        <w:topLinePunct w:val="0"/>
        <w:bidi w:val="0"/>
        <w:snapToGrid/>
        <w:spacing w:before="0" w:beforeLines="0" w:after="0" w:afterLines="0" w:line="560" w:lineRule="exact"/>
        <w:ind w:firstLine="640" w:firstLineChars="200"/>
        <w:jc w:val="left"/>
        <w:textAlignment w:val="auto"/>
        <w:rPr>
          <w:rFonts w:ascii="黑体" w:hAnsi="黑体" w:eastAsia="黑体" w:cs="黑体"/>
          <w:b w:val="0"/>
          <w:bCs w:val="0"/>
          <w:sz w:val="32"/>
          <w:szCs w:val="32"/>
        </w:rPr>
      </w:pPr>
      <w:bookmarkStart w:id="76" w:name="_Toc20819"/>
      <w:bookmarkStart w:id="77" w:name="_Toc943"/>
      <w:bookmarkStart w:id="78" w:name="_Toc31420"/>
      <w:bookmarkStart w:id="79" w:name="_Toc23338"/>
      <w:bookmarkStart w:id="80" w:name="_Toc3058"/>
      <w:bookmarkStart w:id="81" w:name="_Toc3429"/>
      <w:bookmarkStart w:id="82" w:name="_Toc2754"/>
      <w:bookmarkStart w:id="83" w:name="_Toc12590"/>
      <w:bookmarkStart w:id="84" w:name="_Toc6729"/>
      <w:r>
        <w:rPr>
          <w:rFonts w:hint="eastAsia" w:ascii="黑体" w:hAnsi="黑体" w:eastAsia="黑体" w:cs="黑体"/>
          <w:b w:val="0"/>
          <w:bCs w:val="0"/>
          <w:sz w:val="32"/>
          <w:szCs w:val="32"/>
        </w:rPr>
        <w:t>四、发展机遇</w:t>
      </w:r>
      <w:bookmarkEnd w:id="76"/>
      <w:bookmarkEnd w:id="77"/>
      <w:bookmarkEnd w:id="78"/>
      <w:bookmarkEnd w:id="79"/>
      <w:bookmarkEnd w:id="80"/>
      <w:bookmarkEnd w:id="81"/>
      <w:bookmarkEnd w:id="82"/>
      <w:bookmarkEnd w:id="83"/>
      <w:bookmarkEnd w:id="84"/>
    </w:p>
    <w:p w14:paraId="66330906">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（一）大力推进生态文明建设，为加快黄山市林业发展提供了重要支撑。</w:t>
      </w:r>
    </w:p>
    <w:p w14:paraId="671BF614">
      <w:pPr>
        <w:pageBreakBefore w:val="0"/>
        <w:widowControl/>
        <w:kinsoku/>
        <w:wordWrap/>
        <w:overflowPunct/>
        <w:topLinePunct w:val="0"/>
        <w:autoSpaceDE w:val="0"/>
        <w:autoSpaceDN w:val="0"/>
        <w:bidi w:val="0"/>
        <w:adjustRightInd w:val="0"/>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生态文明建设是关系中华民族永续发展的根本大计，功在当代、利在千秋。党的十九大将生态文明建设摆在更加重要的位置，确定了加快生态文明体制改革的总体要求，对林业则提出了“稳步扩大森林面积，提升森林质量，增强森林生态功能，为建设美丽中国创造更好的生态条件”的明确要求，全力推动建设青山常在、绿水长流、空气常新的美丽中国。</w:t>
      </w:r>
    </w:p>
    <w:p w14:paraId="0E8F353A">
      <w:pPr>
        <w:pageBreakBefore w:val="0"/>
        <w:widowControl/>
        <w:kinsoku/>
        <w:wordWrap/>
        <w:overflowPunct/>
        <w:topLinePunct w:val="0"/>
        <w:autoSpaceDE w:val="0"/>
        <w:autoSpaceDN w:val="0"/>
        <w:bidi w:val="0"/>
        <w:adjustRightInd w:val="0"/>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党的十九届五中全会指出，完善生态文明领域统筹协调机制，构建生态文明体系，促进经济社会发展全面绿色转型，建设人与自然和谐共生的现代化。会议明确提出以推动高质量发展为主题，用六个新提出“十四五”发展目标，强调“生态文明建设实现新进步，生态环境持续改善，生态安全屏障更加牢固，城乡人居环境明显改善”。要求加快推动低碳绿色发展，降低碳排放强度，支持有条件的城市率先达到碳排放峰值。坚持山水林田湖草系统治理，提升生态系统质量和稳定性，完善自然保护地、生态保护红线监管制度，建立生态产品价值实现机制，完善市场化、多元化生态补偿机制。</w:t>
      </w:r>
    </w:p>
    <w:p w14:paraId="58A07C4D">
      <w:pPr>
        <w:pageBreakBefore w:val="0"/>
        <w:kinsoku/>
        <w:wordWrap/>
        <w:overflowPunct/>
        <w:topLinePunct w:val="0"/>
        <w:autoSpaceDE w:val="0"/>
        <w:autoSpaceDN w:val="0"/>
        <w:bidi w:val="0"/>
        <w:adjustRightInd w:val="0"/>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是全省林业资源大市，生态环境优良，生态优势向经济优势转化的有效途径尚未找到，且生态保护与经济发展矛盾较为突出。面临社会经济发展过程带来的诸多机遇与挑战，进一步要求黄山市林业贯彻新发展理念，以资源保护为重点，推动林业生态体系与产业结构升级，促进生产方式与生活条件转型，为建设生态文明、提高生态环境承载力提供重要支撑。</w:t>
      </w:r>
    </w:p>
    <w:p w14:paraId="349067DC">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（二）全力实施乡村振兴战略，为加快黄山市林业发展指明了前进方向。</w:t>
      </w:r>
    </w:p>
    <w:p w14:paraId="1BAD9F79">
      <w:pPr>
        <w:pStyle w:val="2"/>
        <w:pageBreakBefore w:val="0"/>
        <w:kinsoku/>
        <w:wordWrap/>
        <w:overflowPunct/>
        <w:topLinePunct w:val="0"/>
        <w:bidi w:val="0"/>
        <w:snapToGrid/>
        <w:spacing w:after="0" w:line="56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实施乡村振兴战略，是党中央围绕全面建成小康社会提出的重大战略部署，也是新时代赋予林业的新的历史使命，总要求是“产业兴旺、生态宜居、乡风文明、治理有效、生活富裕”。林业工作是乡村振兴战略的重要组成部分，是实施乡村振兴的重要载体和重要资源。</w:t>
      </w:r>
    </w:p>
    <w:p w14:paraId="44E60C3F">
      <w:pPr>
        <w:pStyle w:val="2"/>
        <w:pageBreakBefore w:val="0"/>
        <w:kinsoku/>
        <w:wordWrap/>
        <w:overflowPunct/>
        <w:topLinePunct w:val="0"/>
        <w:bidi w:val="0"/>
        <w:snapToGrid/>
        <w:spacing w:after="0" w:line="560" w:lineRule="exact"/>
        <w:ind w:left="0" w:leftChars="0"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林业产业是绿水青山转化金山银山的重要载体，是规模最大的绿色经济，是推动资源再生、产品降解的绿色产业。发展林业产业，是实现农民增收和巩固脱贫攻坚成果，解决发展不平衡不充分的重要途径。乡村振兴最大的优势在于生态，最大的潜力在林业，绿水青山就是金山银山，发展林业是乡村振兴的必然选择，林业在未来乡村振兴战略的实施中也必将发挥出更大的作用，这也给加快黄山市林业发展指明了前进方向。</w:t>
      </w:r>
    </w:p>
    <w:p w14:paraId="3AA1733B">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（三）安徽部署深化新一轮林长制改革，为黄山市践行林业改革提供了重要抓手。</w:t>
      </w:r>
    </w:p>
    <w:p w14:paraId="6C269E8E">
      <w:pPr>
        <w:pageBreakBefore w:val="0"/>
        <w:kinsoku/>
        <w:wordWrap/>
        <w:overflowPunct/>
        <w:topLinePunct w:val="0"/>
        <w:bidi w:val="0"/>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2016年4月，习近平总书记视察安徽时指出，“安徽山水资源丰富，自然风光美好”，叮嘱安徽省“要把好山好水保护好，着力打造生态文明建设的安徽样板，建设绿色江淮美好家园”。安徽省委、省政府为贯彻落实总书记重要指示，围绕把“好山”和“好水”保护好的要求，2017年</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月，在深入学习河长制经验基础上，率先探索全面建立林长制，明确提出建立省、市、县、乡、村五级林长制体系，落实以党政领导负责制为核心的责任体系，确保一山一坡、一园一林都有专员专管、责任到人。2021年1月31日，安徽省林业工作会议部署深化新一轮林长制改革，完善“五绿”协同并进体制，大力推进国土绿化高质量发展，全面实施长江、淮河、江淮运河、新安江4条生态廊道建设，探索实施林业碳汇项目，增强森林固碳增汇能力。</w:t>
      </w:r>
    </w:p>
    <w:p w14:paraId="73B74300">
      <w:pPr>
        <w:pageBreakBefore w:val="0"/>
        <w:kinsoku/>
        <w:wordWrap/>
        <w:overflowPunct/>
        <w:topLinePunct w:val="0"/>
        <w:bidi w:val="0"/>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森林资源丰富，林长制改革工作一直走在全省前列，紧抓安徽省深化新一轮林长制改革契机，统筹推进山水林田湖草系统治理，坚持因地制宜、分类施策，坚持新安江生态廊道重点抓调优增秀，推进自然保护地整合优化，组织申报黄山国家公园，高质量抓好林长制改革示范区和示范区先行区建设，打造生态文明建设黄山样板。</w:t>
      </w:r>
    </w:p>
    <w:p w14:paraId="6011CC56">
      <w:pPr>
        <w:pStyle w:val="7"/>
        <w:pageBreakBefore w:val="0"/>
        <w:kinsoku/>
        <w:wordWrap/>
        <w:overflowPunct/>
        <w:topLinePunct w:val="0"/>
        <w:bidi w:val="0"/>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（四）全面落实长三角区域一体化发展战略，为加快黄山市林业发展提供了新机遇。</w:t>
      </w:r>
    </w:p>
    <w:p w14:paraId="0F6B1656">
      <w:pPr>
        <w:pageBreakBefore w:val="0"/>
        <w:kinsoku/>
        <w:wordWrap/>
        <w:overflowPunct/>
        <w:topLinePunct w:val="0"/>
        <w:bidi w:val="0"/>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sz w:val="32"/>
          <w:szCs w:val="32"/>
          <w:lang w:val="zh-CN" w:bidi="ar"/>
        </w:rPr>
        <w:t>2019年12月1日，中共中央、国务院印发《长江三角洲区域一 体化发展规划纲要》，将安徽省全域纳入长三角一体化发展国家战略。</w:t>
      </w:r>
    </w:p>
    <w:p w14:paraId="2167F90E">
      <w:pPr>
        <w:pageBreakBefore w:val="0"/>
        <w:widowControl/>
        <w:kinsoku/>
        <w:wordWrap/>
        <w:overflowPunct/>
        <w:topLinePunct w:val="0"/>
        <w:bidi w:val="0"/>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sz w:val="32"/>
          <w:szCs w:val="32"/>
          <w:lang w:val="zh-CN" w:bidi="ar"/>
        </w:rPr>
        <w:t>2020年10月26日，推动长三角一体化发展领导小组办公室印发《长江三角洲区域生态环境共同保护规划》，对林业一体化高质量发展提出了新要求。</w:t>
      </w:r>
      <w:r>
        <w:rPr>
          <w:rFonts w:hint="eastAsia" w:ascii="仿宋_GB2312" w:hAnsi="仿宋_GB2312" w:eastAsia="仿宋_GB2312" w:cs="仿宋_GB2312"/>
          <w:sz w:val="32"/>
          <w:szCs w:val="32"/>
          <w:lang w:val="zh-CN"/>
        </w:rPr>
        <w:t>黄山市林业发展紧抓长三角一体化发展战略，以全方位融杭接沪为契机，着力构建新安江生态补偿有效机制，运用行政和市场手段，不断拓宽资金、产业、人才等综合补偿路径，促进上下游各得其所、彼此受益，实现区域高质量协调发展。</w:t>
      </w:r>
    </w:p>
    <w:p w14:paraId="20EF4E4A">
      <w:pPr>
        <w:pageBreakBefore w:val="0"/>
        <w:widowControl/>
        <w:kinsoku/>
        <w:wordWrap/>
        <w:overflowPunct/>
        <w:topLinePunct w:val="0"/>
        <w:bidi w:val="0"/>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落实安徽省实施长江三角洲区域一体化发展规划纲要行动计划，重点打造新安江生态廊道，升级建设新安江-千岛湖生态补偿试验区，把“新安江模式”推广到全省重点流域和森林、湿地、耕地、空气等生态区域。聚焦共保联治，共筑长三角绿色生态屏障，打造长三角绿色美丽大花园。同时，以“提高黄山市生态文明建设水平，打造生态文明建设安徽样板示范先行区，建成国家生态文明建设示范市”为契机，紧紧围绕生态保护及治理修复、美丽乡村建设、重点生态文明制度建设等方面，加快黄山市林业发展步伐。全方位融杭接沪，既是全面落实长三角一体化发展国家战略，深入贯彻国家规划纲要及省行动计划、市实施方案，推动与杭州都市圈城市“1+9+3”战略合作协议落地见效的客观需要，也是杭州都市圈推动高质量发展的内在需求，更是黄山市抢抓机遇实现跨越发展的有效路径。</w:t>
      </w:r>
    </w:p>
    <w:p w14:paraId="2A396E08">
      <w:pPr>
        <w:ind w:firstLine="560"/>
        <w:rPr>
          <w:rFonts w:ascii="仿宋_GB2312" w:hAnsi="Times New Roman" w:eastAsia="仿宋_GB2312"/>
          <w:lang w:val="zh-CN"/>
        </w:rPr>
      </w:pPr>
    </w:p>
    <w:p w14:paraId="48830ED4">
      <w:pPr>
        <w:ind w:firstLine="0" w:firstLineChars="0"/>
      </w:pPr>
      <w:r>
        <w:rPr>
          <w:rFonts w:hint="eastAsia"/>
        </w:rPr>
        <w:br w:type="page"/>
      </w:r>
    </w:p>
    <w:p w14:paraId="746E303C">
      <w:pPr>
        <w:numPr>
          <w:ilvl w:val="0"/>
          <w:numId w:val="1"/>
        </w:numPr>
        <w:spacing w:before="312" w:beforeLines="100" w:after="312" w:afterLines="100"/>
        <w:ind w:firstLine="0" w:firstLineChars="0"/>
        <w:jc w:val="center"/>
        <w:outlineLvl w:val="0"/>
        <w:rPr>
          <w:rFonts w:ascii="宋体" w:hAnsi="宋体" w:eastAsia="宋体" w:cs="宋体"/>
          <w:b w:val="0"/>
          <w:bCs w:val="0"/>
          <w:sz w:val="40"/>
        </w:rPr>
      </w:pPr>
      <w:bookmarkStart w:id="85" w:name="_Toc9443"/>
      <w:bookmarkStart w:id="86" w:name="_Toc14995"/>
      <w:bookmarkStart w:id="87" w:name="_Toc21832"/>
      <w:bookmarkStart w:id="88" w:name="_Toc5116"/>
      <w:bookmarkStart w:id="89" w:name="_Toc23478"/>
      <w:bookmarkStart w:id="90" w:name="_Toc17197"/>
      <w:bookmarkStart w:id="91" w:name="_Toc17776"/>
      <w:bookmarkStart w:id="92" w:name="_Toc3713"/>
      <w:bookmarkStart w:id="93" w:name="_Toc12443"/>
      <w:r>
        <w:rPr>
          <w:rFonts w:hint="eastAsia" w:ascii="方正小标宋简体" w:hAnsi="方正小标宋简体" w:eastAsia="方正小标宋简体" w:cs="方正小标宋简体"/>
          <w:b w:val="0"/>
          <w:bCs w:val="0"/>
          <w:sz w:val="44"/>
          <w:szCs w:val="44"/>
        </w:rPr>
        <w:t>“十四五”林业保护发展思路</w:t>
      </w:r>
      <w:bookmarkEnd w:id="85"/>
      <w:bookmarkEnd w:id="86"/>
      <w:bookmarkEnd w:id="87"/>
      <w:bookmarkEnd w:id="88"/>
      <w:bookmarkEnd w:id="89"/>
      <w:bookmarkEnd w:id="90"/>
      <w:bookmarkEnd w:id="91"/>
      <w:bookmarkEnd w:id="92"/>
      <w:bookmarkEnd w:id="93"/>
    </w:p>
    <w:p w14:paraId="13C0F53C">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94" w:name="_Toc11744"/>
      <w:bookmarkStart w:id="95" w:name="_Toc2320"/>
      <w:bookmarkStart w:id="96" w:name="_Toc2164"/>
      <w:bookmarkStart w:id="97" w:name="_Toc8429"/>
      <w:bookmarkStart w:id="98" w:name="_Toc4572"/>
      <w:bookmarkStart w:id="99" w:name="_Toc22186"/>
      <w:bookmarkStart w:id="100" w:name="_Toc20379"/>
      <w:bookmarkStart w:id="101" w:name="_Toc30378"/>
      <w:bookmarkStart w:id="102" w:name="_Toc15111"/>
      <w:bookmarkStart w:id="103" w:name="_Toc5126"/>
      <w:r>
        <w:rPr>
          <w:rFonts w:hint="eastAsia" w:ascii="黑体" w:hAnsi="黑体" w:eastAsia="黑体" w:cs="黑体"/>
          <w:b w:val="0"/>
          <w:bCs w:val="0"/>
          <w:sz w:val="32"/>
          <w:szCs w:val="32"/>
        </w:rPr>
        <w:t>一、</w:t>
      </w:r>
      <w:bookmarkEnd w:id="94"/>
      <w:r>
        <w:rPr>
          <w:rFonts w:hint="eastAsia" w:ascii="黑体" w:hAnsi="黑体" w:eastAsia="黑体" w:cs="黑体"/>
          <w:b w:val="0"/>
          <w:bCs w:val="0"/>
          <w:sz w:val="32"/>
          <w:szCs w:val="32"/>
        </w:rPr>
        <w:t>指导思想</w:t>
      </w:r>
      <w:bookmarkEnd w:id="95"/>
      <w:bookmarkEnd w:id="96"/>
      <w:bookmarkEnd w:id="97"/>
      <w:bookmarkEnd w:id="98"/>
      <w:bookmarkEnd w:id="99"/>
      <w:bookmarkEnd w:id="100"/>
      <w:bookmarkEnd w:id="101"/>
      <w:bookmarkEnd w:id="102"/>
      <w:bookmarkEnd w:id="103"/>
    </w:p>
    <w:p w14:paraId="7052AE17">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以习近平新时代中国特色社会主义思想为指导，全面贯彻党的十九大和十九届二中、三中、四中、五中、六中全会精神，深入贯彻习近平生态文明思想和习近平总书记考察安徽重要讲话指示精神，准确把握新发展阶段林业建设机遇和条件，坚持改革开放和科技创新，以推动林业高质量发展为主线，以深化新一轮林长制改革为动力，积极推进林业治理体系和治理能力现代化，实行最严格的生态环境保护制度，巩固生态屏障建设，积极探索绿水青山转化为金山银山的有效路径，加快发展绿色经济、美丽经济，扎实推进长三角林业一体化高质量发展，加快创建国家生态文明建设示范市，全力打造生态文明建设安徽样板的先行区，为加快建设生态型国际化世界级休闲度假旅游目的地城市作出更大贡献。</w:t>
      </w:r>
      <w:bookmarkStart w:id="104" w:name="_Toc29801"/>
      <w:bookmarkStart w:id="105" w:name="_Toc21012"/>
      <w:bookmarkStart w:id="106" w:name="_Toc13402"/>
      <w:bookmarkStart w:id="107" w:name="_Toc27808"/>
      <w:bookmarkStart w:id="108" w:name="_Toc24776"/>
      <w:bookmarkStart w:id="109" w:name="_Toc18306"/>
      <w:bookmarkStart w:id="110" w:name="_Toc5301"/>
      <w:bookmarkStart w:id="111" w:name="_Toc12370"/>
      <w:bookmarkStart w:id="112" w:name="_Toc7801"/>
      <w:r>
        <w:rPr>
          <w:rFonts w:hint="eastAsia" w:ascii="仿宋_GB2312" w:hAnsi="仿宋_GB2312" w:eastAsia="仿宋_GB2312" w:cs="仿宋_GB2312"/>
          <w:sz w:val="32"/>
          <w:szCs w:val="32"/>
          <w:lang w:val="en-US" w:eastAsia="zh-CN"/>
        </w:rPr>
        <w:t xml:space="preserve">    </w:t>
      </w:r>
    </w:p>
    <w:p w14:paraId="5FE4A49A">
      <w:pPr>
        <w:pageBreakBefore w:val="0"/>
        <w:kinsoku/>
        <w:wordWrap/>
        <w:overflowPunct/>
        <w:topLinePunct w:val="0"/>
        <w:autoSpaceDE/>
        <w:autoSpaceDN/>
        <w:bidi w:val="0"/>
        <w:adjustRightInd/>
        <w:snapToGrid/>
        <w:spacing w:line="560" w:lineRule="exact"/>
        <w:ind w:firstLine="56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二、基本原则</w:t>
      </w:r>
      <w:bookmarkEnd w:id="104"/>
      <w:bookmarkEnd w:id="105"/>
      <w:bookmarkEnd w:id="106"/>
      <w:bookmarkEnd w:id="107"/>
      <w:bookmarkEnd w:id="108"/>
      <w:bookmarkEnd w:id="109"/>
      <w:bookmarkEnd w:id="110"/>
      <w:bookmarkEnd w:id="111"/>
      <w:bookmarkEnd w:id="112"/>
    </w:p>
    <w:p w14:paraId="7C4877C5">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（一）坚持保护优先，绿色发展原则。</w:t>
      </w:r>
      <w:r>
        <w:rPr>
          <w:rFonts w:hint="eastAsia" w:ascii="仿宋_GB2312" w:hAnsi="仿宋_GB2312" w:eastAsia="仿宋_GB2312" w:cs="仿宋_GB2312"/>
          <w:sz w:val="32"/>
          <w:szCs w:val="32"/>
          <w:lang w:val="zh-CN"/>
        </w:rPr>
        <w:t>始终坚持生态建设为主的林业发展战略，坚持“绿水青山就是金山银山”的发展理念，坚持把生态保护放在林业改革发展的首要地位。统筹推进山水林田湖草系统治理，强化生态空间、生态红线管控，把发挥森林生态效益放在首位，突出改善生态环境质量、保护生物多样性、保障生态安全的作用。坚持节约优先、保护优先、自然恢复为主，进一步优化林业产业布局结构和技术升级，促进林业生态经济转型升级，加快推动绿色低碳发展和走高质量发展之路。</w:t>
      </w:r>
    </w:p>
    <w:p w14:paraId="44FBA391">
      <w:pPr>
        <w:pStyle w:val="7"/>
        <w:pageBreakBefore w:val="0"/>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（二）坚持深化改革，创新发展原则。</w:t>
      </w:r>
      <w:r>
        <w:rPr>
          <w:rFonts w:hint="eastAsia" w:ascii="仿宋_GB2312" w:hAnsi="仿宋_GB2312" w:eastAsia="仿宋_GB2312" w:cs="仿宋_GB2312"/>
          <w:b w:val="0"/>
          <w:bCs/>
          <w:sz w:val="32"/>
          <w:szCs w:val="32"/>
          <w:lang w:val="zh-CN"/>
        </w:rPr>
        <w:t>全面深化林业改革，以林长制改革示范区建设为重点，加快完善林业发展体制机制，优化资源要素配置，培育林业发展新动力，加快形成可示范推广的成功经验。加强林业治理体系和治理能力现代化建设，推进简政放权和服务型政府建设，加快形成有利于创新发展的市场环境、产权制度、投融资体制机制，激发林业发展活力。</w:t>
      </w:r>
    </w:p>
    <w:p w14:paraId="17743883">
      <w:pPr>
        <w:pStyle w:val="7"/>
        <w:pageBreakBefore w:val="0"/>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（三）坚持问题导向，靶向施策原则。</w:t>
      </w:r>
      <w:r>
        <w:rPr>
          <w:rFonts w:hint="eastAsia" w:ascii="仿宋_GB2312" w:hAnsi="仿宋_GB2312" w:eastAsia="仿宋_GB2312" w:cs="仿宋_GB2312"/>
          <w:b w:val="0"/>
          <w:bCs/>
          <w:sz w:val="32"/>
          <w:szCs w:val="32"/>
          <w:lang w:val="zh-CN"/>
        </w:rPr>
        <w:t>坚持问题导向，着力查找分析影响制约本地林业发展的问题及原因，把工作的着力点放在解决林业发展最突出的矛盾和问题，集中力量攻坚重点难点问题。全力抓好森林质量提升、松材线虫病防治、森林防火等重点领域和关键环节，因地制宜，精准施策，靶向发力，提高生态环境质量。</w:t>
      </w:r>
    </w:p>
    <w:p w14:paraId="490F463D">
      <w:pPr>
        <w:pStyle w:val="7"/>
        <w:pageBreakBefore w:val="0"/>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（四）坚持科技兴林，人才强林原则。</w:t>
      </w:r>
      <w:r>
        <w:rPr>
          <w:rFonts w:hint="eastAsia" w:ascii="仿宋_GB2312" w:hAnsi="仿宋_GB2312" w:eastAsia="仿宋_GB2312" w:cs="仿宋_GB2312"/>
          <w:b w:val="0"/>
          <w:bCs/>
          <w:sz w:val="32"/>
          <w:szCs w:val="32"/>
          <w:lang w:val="zh-CN"/>
        </w:rPr>
        <w:t>依靠科技进步和创新，加快推动新时代林业现代化建设，全面提高林业科技和装备水平，提升林业综合生产能力和市场竞争力，积极引进、推广适用的科技创新应用和成果转化，增强林业发展活力。加强林业人才能力建设，推进人才结构调整，培育现代林业人才、林业经营主体和农村实用人才，提高经营水平，提升增收致富能力。不断拓宽人才引进渠道，通过引进人才改善人才组成和知识结构。创新人才工作机制，优化人才成长环境。</w:t>
      </w:r>
    </w:p>
    <w:p w14:paraId="4530B26B">
      <w:pPr>
        <w:spacing w:line="540" w:lineRule="exact"/>
        <w:ind w:firstLine="636" w:firstLineChars="198"/>
        <w:rPr>
          <w:rFonts w:hint="eastAsia" w:ascii="仿宋_GB2312" w:hAnsi="仿宋_GB2312" w:eastAsia="仿宋_GB2312" w:cs="仿宋_GB2312"/>
          <w:sz w:val="32"/>
          <w:szCs w:val="32"/>
          <w:lang w:val="zh-CN"/>
        </w:rPr>
      </w:pPr>
      <w:r>
        <w:rPr>
          <w:rFonts w:hint="eastAsia" w:ascii="楷体_GB2312" w:eastAsia="楷体_GB2312" w:cs="楷体_GB2312" w:hAnsiTheme="minorHAnsi"/>
          <w:b/>
          <w:bCs/>
          <w:sz w:val="32"/>
          <w:szCs w:val="32"/>
          <w:shd w:val="clear" w:color="auto" w:fill="FFFFFF"/>
        </w:rPr>
        <w:t>（五）坚持依法治林，严格保护原则</w:t>
      </w:r>
      <w:r>
        <w:rPr>
          <w:rFonts w:hint="eastAsia" w:ascii="楷体_GB2312" w:eastAsia="楷体_GB2312" w:cs="楷体_GB2312" w:hAnsiTheme="minorHAnsi"/>
          <w:b/>
          <w:bCs/>
          <w:sz w:val="32"/>
          <w:szCs w:val="32"/>
          <w:shd w:val="clear" w:color="auto" w:fill="FFFFFF"/>
          <w:lang w:eastAsia="zh-CN"/>
        </w:rPr>
        <w:t>。</w:t>
      </w:r>
      <w:r>
        <w:rPr>
          <w:rFonts w:hint="eastAsia" w:ascii="仿宋_GB2312" w:hAnsi="仿宋_GB2312" w:eastAsia="仿宋_GB2312" w:cs="仿宋_GB2312"/>
          <w:sz w:val="32"/>
          <w:szCs w:val="32"/>
          <w:lang w:val="zh-CN"/>
        </w:rPr>
        <w:t>加强林业法治体系建设，完善林业法律法规制度，做到有法可依、有法必依、执法必严、违法必究，把林业的各项工作纳入法治化、制度化、规范化轨道。重视林业执法队伍建设，开展普法教育，增强法制意识，严格依法行政，加大执法力度，维护林农和经营者合法权益，打击破坏森林资源违法行为，促进林业建设法治化、制度化、规范化发展，为改革创新营造良好法治环境。</w:t>
      </w:r>
    </w:p>
    <w:p w14:paraId="610C3BFB">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13" w:name="_Toc25839"/>
      <w:bookmarkStart w:id="114" w:name="_Toc25026"/>
      <w:bookmarkStart w:id="115" w:name="_Toc16664"/>
      <w:bookmarkStart w:id="116" w:name="_Toc27007"/>
      <w:bookmarkStart w:id="117" w:name="_Toc19168"/>
      <w:r>
        <w:rPr>
          <w:rFonts w:hint="eastAsia" w:ascii="黑体" w:hAnsi="黑体" w:eastAsia="黑体" w:cs="黑体"/>
          <w:b w:val="0"/>
          <w:bCs w:val="0"/>
          <w:sz w:val="32"/>
          <w:szCs w:val="32"/>
        </w:rPr>
        <w:t>三、规划依据</w:t>
      </w:r>
      <w:bookmarkEnd w:id="113"/>
      <w:bookmarkEnd w:id="114"/>
      <w:bookmarkEnd w:id="115"/>
      <w:bookmarkEnd w:id="116"/>
      <w:bookmarkEnd w:id="117"/>
    </w:p>
    <w:p w14:paraId="18E7FD88">
      <w:pPr>
        <w:pStyle w:val="7"/>
        <w:pageBreakBefore w:val="0"/>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（一）法律法规</w:t>
      </w:r>
    </w:p>
    <w:p w14:paraId="098EBF5A">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——《中华人民共和国森林法》（2019年修订）；</w:t>
      </w:r>
      <w:bookmarkStart w:id="255" w:name="_GoBack"/>
      <w:bookmarkEnd w:id="255"/>
    </w:p>
    <w:p w14:paraId="745DACA1">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——《中华人民共和国野生动物保护法》（2018年修正）；</w:t>
      </w:r>
    </w:p>
    <w:p w14:paraId="10D0861C">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——《中华人民共和国森林法实施条例》（2016年修订）；</w:t>
      </w:r>
    </w:p>
    <w:p w14:paraId="3E4A36DF">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——《中华人民共和国自然保护区条例》（2011年修订）；</w:t>
      </w:r>
    </w:p>
    <w:p w14:paraId="49F7DDA9">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——《湿地保护管理规定》（2017年修订）；</w:t>
      </w:r>
    </w:p>
    <w:p w14:paraId="072B585B">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——《安徽省林长制条例》（20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w:t>
      </w:r>
    </w:p>
    <w:p w14:paraId="7322D4DF">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——《安徽省湿地公园管理办法（试行）》（2020年）；</w:t>
      </w:r>
    </w:p>
    <w:p w14:paraId="2816CD51">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——《安徽省湿地保护条例》（2018年修订）；</w:t>
      </w:r>
    </w:p>
    <w:p w14:paraId="53BAB85F">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——《安徽省古树名木保护条例》（2009年）；</w:t>
      </w:r>
    </w:p>
    <w:p w14:paraId="026DA89C">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——《黄山市林长制规定》（2020年）；</w:t>
      </w:r>
    </w:p>
    <w:p w14:paraId="237DEEAE">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《黄山市松材线虫病防治条例》（2018年）；</w:t>
      </w:r>
    </w:p>
    <w:p w14:paraId="2AE1108C">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《全国人民代表大会常务委员会关于全面禁止非法野生动物交易、革除滥食野生动物陋习、切实保障人民群众生命健康安全的决定》（2020年）。</w:t>
      </w:r>
    </w:p>
    <w:p w14:paraId="175E263E">
      <w:pPr>
        <w:pStyle w:val="7"/>
        <w:pageBreakBefore w:val="0"/>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（二）政策文件</w:t>
      </w:r>
    </w:p>
    <w:p w14:paraId="0B47CF2B">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——《安徽省林业局关于开展林业发展“十四五”总体规划及重点专项规划编制工作的通知》（林规函〔2020〕78号）；</w:t>
      </w:r>
    </w:p>
    <w:p w14:paraId="2D118794">
      <w:pPr>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——《关于发挥发展规划战略导向作用做好“十四五”规划编制工作的通知》（黄政办〔2020〕14号）；</w:t>
      </w:r>
    </w:p>
    <w:p w14:paraId="5E03B399">
      <w:pPr>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zh-CN" w:bidi="ar"/>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z w:val="32"/>
          <w:szCs w:val="32"/>
          <w:lang w:val="zh-CN" w:bidi="ar"/>
        </w:rPr>
        <w:t>中共中央办公厅、国务院办公厅印发《关于建立以国家公园为主体的自然保护地体系的指导意见》（</w:t>
      </w:r>
      <w:r>
        <w:rPr>
          <w:rFonts w:hint="eastAsia" w:ascii="仿宋_GB2312" w:hAnsi="仿宋_GB2312" w:eastAsia="仿宋_GB2312" w:cs="仿宋_GB2312"/>
          <w:sz w:val="32"/>
          <w:szCs w:val="32"/>
          <w:lang w:val="zh-CN" w:bidi="ar"/>
        </w:rPr>
        <w:t>2019</w:t>
      </w:r>
      <w:r>
        <w:rPr>
          <w:rFonts w:hint="eastAsia" w:ascii="仿宋_GB2312" w:hAnsi="仿宋_GB2312" w:eastAsia="仿宋_GB2312" w:cs="仿宋_GB2312"/>
          <w:color w:val="000000"/>
          <w:sz w:val="32"/>
          <w:szCs w:val="32"/>
          <w:lang w:val="zh-CN" w:bidi="ar"/>
        </w:rPr>
        <w:t>年</w:t>
      </w:r>
      <w:r>
        <w:rPr>
          <w:rFonts w:hint="eastAsia" w:ascii="仿宋_GB2312" w:hAnsi="仿宋_GB2312" w:eastAsia="仿宋_GB2312" w:cs="仿宋_GB2312"/>
          <w:sz w:val="32"/>
          <w:szCs w:val="32"/>
          <w:lang w:val="zh-CN" w:bidi="ar"/>
        </w:rPr>
        <w:t>6</w:t>
      </w:r>
      <w:r>
        <w:rPr>
          <w:rFonts w:hint="eastAsia" w:ascii="仿宋_GB2312" w:hAnsi="仿宋_GB2312" w:eastAsia="仿宋_GB2312" w:cs="仿宋_GB2312"/>
          <w:color w:val="000000"/>
          <w:sz w:val="32"/>
          <w:szCs w:val="32"/>
          <w:lang w:val="zh-CN" w:bidi="ar"/>
        </w:rPr>
        <w:t>月）；</w:t>
      </w:r>
    </w:p>
    <w:p w14:paraId="15BCA1DB">
      <w:pPr>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bidi="ar"/>
        </w:rPr>
        <w:t>中共中央办公厅、国务院办公厅印发</w:t>
      </w:r>
      <w:r>
        <w:rPr>
          <w:rFonts w:hint="eastAsia" w:ascii="仿宋_GB2312" w:hAnsi="仿宋_GB2312" w:eastAsia="仿宋_GB2312" w:cs="仿宋_GB2312"/>
          <w:sz w:val="32"/>
          <w:szCs w:val="32"/>
          <w:lang w:val="zh-CN"/>
        </w:rPr>
        <w:t>《关于建立健全生态产品价值实现机制的意见》（2021年4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zh-CN"/>
        </w:rPr>
        <w:t>）；</w:t>
      </w:r>
    </w:p>
    <w:p w14:paraId="06650896">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——《国务院办公厅关于坚决制止耕地“非农化”行为的通知》（国办发明电〔2020〕24号）；</w:t>
      </w:r>
    </w:p>
    <w:p w14:paraId="1EB10183">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——中共安徽省委办公厅、安徽省人民政府办公厅印发《关于深化新一轮林长制改革的实施意见》（2021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zh-CN"/>
        </w:rPr>
        <w:t>）；</w:t>
      </w:r>
    </w:p>
    <w:p w14:paraId="45A6D37B">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——《关于深化林业科技创新支撑全国林长制改革示范区建设的实施意见》（林科〔2020〕80号）；</w:t>
      </w:r>
    </w:p>
    <w:p w14:paraId="3B6E1789">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——《关于进一步做细做实“五绿兴林•劝耕贷”融资业务工作的通知》（林金函〔2020〕198号）；</w:t>
      </w:r>
    </w:p>
    <w:p w14:paraId="6E05045A">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——《安徽省创建全国林长制改革示范区实施方案》（皖林办发〔20</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号）；</w:t>
      </w:r>
    </w:p>
    <w:p w14:paraId="7FEBE480">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——《安徽省林长制办公室关于开展林长制改革示范区先行区建设的通知》（皖林长办〔2020〕10号）；</w:t>
      </w:r>
    </w:p>
    <w:p w14:paraId="147EB306">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——《关于推深做实林长制改革优化林业发展环境的实施意见》（黄办〔2018〕45号）；</w:t>
      </w:r>
    </w:p>
    <w:p w14:paraId="1D0EDDF7">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《国家重点保护野生动物名录》（2021年）。</w:t>
      </w:r>
    </w:p>
    <w:p w14:paraId="166885C8">
      <w:pPr>
        <w:pStyle w:val="7"/>
        <w:pageBreakBefore w:val="0"/>
        <w:numPr>
          <w:ilvl w:val="0"/>
          <w:numId w:val="5"/>
        </w:numPr>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相关规划</w:t>
      </w:r>
    </w:p>
    <w:p w14:paraId="249FCFEB">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——《安徽省林业保护发展“十四五”规划》（20</w:t>
      </w:r>
      <w:r>
        <w:rPr>
          <w:rFonts w:hint="eastAsia" w:ascii="仿宋_GB2312" w:hAnsi="仿宋_GB2312" w:eastAsia="仿宋_GB2312" w:cs="仿宋_GB2312"/>
          <w:sz w:val="32"/>
          <w:szCs w:val="32"/>
        </w:rPr>
        <w:t>21年</w:t>
      </w:r>
      <w:r>
        <w:rPr>
          <w:rFonts w:hint="eastAsia" w:ascii="仿宋_GB2312" w:hAnsi="仿宋_GB2312" w:eastAsia="仿宋_GB2312" w:cs="仿宋_GB2312"/>
          <w:sz w:val="32"/>
          <w:szCs w:val="32"/>
          <w:lang w:val="zh-CN"/>
        </w:rPr>
        <w:t>）；</w:t>
      </w:r>
    </w:p>
    <w:p w14:paraId="4C584F3C">
      <w:pPr>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z w:val="32"/>
          <w:szCs w:val="32"/>
          <w:lang w:val="zh-CN"/>
        </w:rPr>
        <w:t>《长江三角洲区域一体化发展规划纲要》</w:t>
      </w: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rPr>
        <w:t>9年</w:t>
      </w:r>
      <w:r>
        <w:rPr>
          <w:rFonts w:hint="eastAsia" w:ascii="仿宋_GB2312" w:hAnsi="仿宋_GB2312" w:eastAsia="仿宋_GB2312" w:cs="仿宋_GB2312"/>
          <w:sz w:val="32"/>
          <w:szCs w:val="32"/>
          <w:lang w:val="zh-CN"/>
        </w:rPr>
        <w:t>）；</w:t>
      </w:r>
    </w:p>
    <w:p w14:paraId="0F39981B">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——《长江三角洲区域生态环境共同保护规划》（20</w:t>
      </w:r>
      <w:r>
        <w:rPr>
          <w:rFonts w:hint="eastAsia" w:ascii="仿宋_GB2312" w:hAnsi="仿宋_GB2312" w:eastAsia="仿宋_GB2312" w:cs="仿宋_GB2312"/>
          <w:sz w:val="32"/>
          <w:szCs w:val="32"/>
        </w:rPr>
        <w:t>21年</w:t>
      </w:r>
      <w:r>
        <w:rPr>
          <w:rFonts w:hint="eastAsia" w:ascii="仿宋_GB2312" w:hAnsi="仿宋_GB2312" w:eastAsia="仿宋_GB2312" w:cs="仿宋_GB2312"/>
          <w:sz w:val="32"/>
          <w:szCs w:val="32"/>
          <w:lang w:val="zh-CN"/>
        </w:rPr>
        <w:t>）；</w:t>
      </w:r>
    </w:p>
    <w:p w14:paraId="3AEC7C22">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z w:val="32"/>
          <w:szCs w:val="32"/>
          <w:lang w:val="zh-CN"/>
        </w:rPr>
        <w:t>《安徽省实施长江三角洲区域一体化发展规划纲要行动计划》</w:t>
      </w: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rPr>
        <w:t>9年）；</w:t>
      </w:r>
    </w:p>
    <w:p w14:paraId="551AD7DD">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——《安徽省森林防火规划（2016-2025年）》；</w:t>
      </w:r>
    </w:p>
    <w:p w14:paraId="3735ABF9">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——《安徽省林下经济发展实施纲要（2019-2025年）》；</w:t>
      </w:r>
    </w:p>
    <w:p w14:paraId="57853F5E">
      <w:pPr>
        <w:pStyle w:val="2"/>
        <w:pageBreakBefore w:val="0"/>
        <w:kinsoku/>
        <w:wordWrap/>
        <w:overflowPunct/>
        <w:topLinePunct w:val="0"/>
        <w:autoSpaceDE/>
        <w:autoSpaceDN/>
        <w:bidi w:val="0"/>
        <w:adjustRightInd/>
        <w:snapToGrid/>
        <w:spacing w:after="0" w:line="560" w:lineRule="exact"/>
        <w:ind w:left="0" w:leftChars="0"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——《黄山市城市总体规划（2008-2030）》（2018</w:t>
      </w:r>
      <w:r>
        <w:rPr>
          <w:rFonts w:hint="eastAsia" w:ascii="仿宋_GB2312" w:hAnsi="仿宋_GB2312" w:eastAsia="仿宋_GB2312" w:cs="仿宋_GB2312"/>
          <w:sz w:val="32"/>
          <w:szCs w:val="32"/>
        </w:rPr>
        <w:t>年修改</w:t>
      </w:r>
      <w:r>
        <w:rPr>
          <w:rFonts w:hint="eastAsia" w:ascii="仿宋_GB2312" w:hAnsi="仿宋_GB2312" w:eastAsia="仿宋_GB2312" w:cs="仿宋_GB2312"/>
          <w:sz w:val="32"/>
          <w:szCs w:val="32"/>
          <w:lang w:val="zh-CN"/>
        </w:rPr>
        <w:t>）；</w:t>
      </w:r>
    </w:p>
    <w:p w14:paraId="5072D07F">
      <w:pPr>
        <w:pStyle w:val="2"/>
        <w:pageBreakBefore w:val="0"/>
        <w:kinsoku/>
        <w:wordWrap/>
        <w:overflowPunct/>
        <w:topLinePunct w:val="0"/>
        <w:autoSpaceDE/>
        <w:autoSpaceDN/>
        <w:bidi w:val="0"/>
        <w:adjustRightInd/>
        <w:snapToGrid/>
        <w:spacing w:after="0" w:line="560" w:lineRule="exact"/>
        <w:ind w:left="0" w:leftChars="0"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——《黄山市乡村振兴战略规划（2018-2022年）》；</w:t>
      </w:r>
    </w:p>
    <w:p w14:paraId="0D39FFF6">
      <w:pPr>
        <w:pStyle w:val="2"/>
        <w:pageBreakBefore w:val="0"/>
        <w:kinsoku/>
        <w:wordWrap/>
        <w:overflowPunct/>
        <w:topLinePunct w:val="0"/>
        <w:autoSpaceDE/>
        <w:autoSpaceDN/>
        <w:bidi w:val="0"/>
        <w:adjustRightInd/>
        <w:snapToGrid/>
        <w:spacing w:after="0" w:line="560" w:lineRule="exact"/>
        <w:ind w:left="0" w:leftChars="0"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——《黄山市林业推进乡村振兴战略实施方案（2018-2022年）》；</w:t>
      </w:r>
    </w:p>
    <w:p w14:paraId="5442E89A">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——《黄山市森林防火规划（2019-2025年）》；</w:t>
      </w:r>
    </w:p>
    <w:p w14:paraId="676BBC12">
      <w:pPr>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——《黄山市创建林长制改革示范区实施方案》。</w:t>
      </w:r>
    </w:p>
    <w:p w14:paraId="42DFD716">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18" w:name="_Toc28874"/>
      <w:bookmarkStart w:id="119" w:name="_Toc27328"/>
      <w:bookmarkStart w:id="120" w:name="_Toc3217"/>
      <w:bookmarkStart w:id="121" w:name="_Toc4978"/>
      <w:bookmarkStart w:id="122" w:name="_Toc30456"/>
      <w:bookmarkStart w:id="123" w:name="_Toc14425"/>
      <w:r>
        <w:rPr>
          <w:rFonts w:hint="eastAsia" w:ascii="黑体" w:hAnsi="黑体" w:eastAsia="黑体" w:cs="黑体"/>
          <w:b w:val="0"/>
          <w:bCs w:val="0"/>
          <w:sz w:val="32"/>
          <w:szCs w:val="32"/>
        </w:rPr>
        <w:t>四、规划定位</w:t>
      </w:r>
      <w:bookmarkEnd w:id="118"/>
      <w:bookmarkEnd w:id="119"/>
    </w:p>
    <w:p w14:paraId="24BBDC81">
      <w:pPr>
        <w:pStyle w:val="2"/>
        <w:pageBreakBefore w:val="0"/>
        <w:kinsoku/>
        <w:wordWrap/>
        <w:overflowPunct/>
        <w:topLinePunct w:val="0"/>
        <w:autoSpaceDE/>
        <w:autoSpaceDN/>
        <w:bidi w:val="0"/>
        <w:adjustRightInd/>
        <w:snapToGrid/>
        <w:spacing w:after="0" w:line="560" w:lineRule="exact"/>
        <w:ind w:left="0" w:leftChars="0"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全面践行习近平生态文明思想，秉承新发展理念，对标林业现代化发展要求，推进林业治理体系和治理能力现代化，依托黄山市资源禀赋和林情特点，围绕“绿水青山就是金山银山实践创新区、统筹山水林田湖草系统治理试验区、新安江流域生态屏障建设示范区、林业特色生态文化展示区”四区定位，将黄山市培育发展为长三角生态后花园，着力打造生态文明建设黄山样板。</w:t>
      </w:r>
    </w:p>
    <w:p w14:paraId="3F954AC7">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24" w:name="_Toc18353"/>
      <w:bookmarkStart w:id="125" w:name="_Toc23292"/>
      <w:bookmarkStart w:id="126" w:name="_Toc9989"/>
      <w:bookmarkStart w:id="127" w:name="_Toc11513"/>
      <w:bookmarkStart w:id="128" w:name="_Toc28788"/>
      <w:r>
        <w:rPr>
          <w:rFonts w:hint="eastAsia" w:ascii="黑体" w:hAnsi="黑体" w:eastAsia="黑体" w:cs="黑体"/>
          <w:b w:val="0"/>
          <w:bCs w:val="0"/>
          <w:sz w:val="32"/>
          <w:szCs w:val="32"/>
        </w:rPr>
        <w:t>五、发展目标</w:t>
      </w:r>
      <w:bookmarkEnd w:id="120"/>
      <w:bookmarkEnd w:id="121"/>
      <w:bookmarkEnd w:id="122"/>
      <w:bookmarkEnd w:id="123"/>
      <w:bookmarkEnd w:id="124"/>
      <w:bookmarkEnd w:id="125"/>
      <w:bookmarkEnd w:id="126"/>
      <w:bookmarkEnd w:id="127"/>
      <w:bookmarkEnd w:id="128"/>
    </w:p>
    <w:p w14:paraId="3009E2FB">
      <w:pPr>
        <w:pStyle w:val="7"/>
        <w:pageBreakBefore w:val="0"/>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仿宋_GB2312" w:hAnsi="仿宋_GB2312" w:eastAsia="仿宋_GB2312" w:cs="仿宋_GB2312"/>
          <w:b w:val="0"/>
          <w:bCs/>
          <w:sz w:val="32"/>
          <w:szCs w:val="32"/>
          <w:lang w:val="zh-CN"/>
        </w:rPr>
      </w:pPr>
      <w:r>
        <w:rPr>
          <w:rFonts w:hint="eastAsia" w:ascii="楷体_GB2312" w:eastAsia="楷体_GB2312" w:cs="楷体_GB2312" w:hAnsiTheme="minorHAnsi"/>
          <w:b/>
          <w:bCs/>
          <w:kern w:val="2"/>
          <w:sz w:val="32"/>
          <w:szCs w:val="32"/>
          <w:shd w:val="clear" w:color="auto" w:fill="FFFFFF"/>
          <w:lang w:val="en-US" w:eastAsia="zh-CN" w:bidi="ar-SA"/>
        </w:rPr>
        <w:t>（一）总体目标。</w:t>
      </w:r>
      <w:r>
        <w:rPr>
          <w:rFonts w:hint="eastAsia" w:ascii="仿宋_GB2312" w:hAnsi="仿宋_GB2312" w:eastAsia="仿宋_GB2312" w:cs="仿宋_GB2312"/>
          <w:b w:val="0"/>
          <w:bCs/>
          <w:sz w:val="32"/>
          <w:szCs w:val="32"/>
          <w:lang w:val="zh-CN"/>
        </w:rPr>
        <w:t>“十四五”期间，黄山市林业将处于高质量发展的新阶段，持续贯彻创新、协调、绿色、开放、共享的新发展理念，全力推进森林资源稳量提质，生态安全有效保障，绿色经济蓬勃发展，全面提升林业治理体系和治理能力现代化水平，力争主要生态指标领先全国，生态竞争力显著增强，生态产品价值实现机制基本形成，碳达峰碳中和行动走在前列，新安江—千岛湖生态补偿试验区建设取得重大进展，跻身国家生态文明建设示范区。具体指标如下：</w:t>
      </w:r>
    </w:p>
    <w:p w14:paraId="01F7A520">
      <w:pPr>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——森林经营更加高效。</w:t>
      </w:r>
      <w:r>
        <w:rPr>
          <w:rFonts w:hint="eastAsia" w:ascii="仿宋_GB2312" w:hAnsi="仿宋_GB2312" w:eastAsia="仿宋_GB2312" w:cs="仿宋_GB2312"/>
          <w:sz w:val="32"/>
          <w:szCs w:val="32"/>
          <w:lang w:val="zh-CN"/>
        </w:rPr>
        <w:t>森林经营水平得到显著提高，林分结构得到有效改善，混交林占比不断提高，到2025年，森林覆盖率保持全国前列，初步建立自然保护区为基础，各类自然公园为补充的自然保护地体系。</w:t>
      </w:r>
    </w:p>
    <w:p w14:paraId="0DCEDC97">
      <w:pPr>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——生态屏障更加牢固。</w:t>
      </w:r>
      <w:r>
        <w:rPr>
          <w:rFonts w:hint="eastAsia" w:ascii="仿宋_GB2312" w:hAnsi="仿宋_GB2312" w:eastAsia="仿宋_GB2312" w:cs="仿宋_GB2312"/>
          <w:sz w:val="32"/>
          <w:szCs w:val="32"/>
          <w:lang w:val="zh-CN"/>
        </w:rPr>
        <w:t>全力防治松材线虫病，以保护迎客松等名松古松安全为中心实施靶向防控战略，打好黄山风景区及其周边疫情歼灭战和阻击战，坚决打赢“黄山松保卫战”；加强森林防火工作，围绕森林火灾预防和早期火情处置两大职责任务，大力完善预防体系和工作机制，织牢森林防火安全网，坚决防止出现重、特大森林火灾和重大人员伤亡事故。到2025年，林业有害生物成灾率控制在2.65‰以内，森林火灾受害率控制在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‰以内，湿地保护率稳定在70%，自然保护地占国土面积比例达12%。</w:t>
      </w:r>
    </w:p>
    <w:p w14:paraId="4EFD35B4">
      <w:pPr>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——产业发展更具活力。</w:t>
      </w:r>
      <w:r>
        <w:rPr>
          <w:rFonts w:hint="eastAsia" w:ascii="仿宋_GB2312" w:hAnsi="仿宋_GB2312" w:eastAsia="仿宋_GB2312" w:cs="仿宋_GB2312"/>
          <w:sz w:val="32"/>
          <w:szCs w:val="32"/>
          <w:lang w:val="zh-CN"/>
        </w:rPr>
        <w:t>加快林业产业转型升级，推动林业一二三产业融合发展，推动林业产业集约化、规模化、标准化发展，大力培育新型经营主体，积极引进推广适用技术，提高林业附加值，示范带动林农增收，巩固拓展脱贫攻坚成果，到2025年，全市林业总产值50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亿元以上；农民林业综合收入年均增长率达10%。</w:t>
      </w:r>
    </w:p>
    <w:p w14:paraId="61972B9C">
      <w:pPr>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——林业改革更加深入。</w:t>
      </w:r>
      <w:r>
        <w:rPr>
          <w:rFonts w:hint="eastAsia" w:ascii="仿宋_GB2312" w:hAnsi="仿宋_GB2312" w:eastAsia="仿宋_GB2312" w:cs="仿宋_GB2312"/>
          <w:sz w:val="32"/>
          <w:szCs w:val="32"/>
          <w:lang w:val="zh-CN"/>
        </w:rPr>
        <w:t>以严格森林资源保护和增绿增效为重点，以“五绿”工作任务为抓手，全面深化改革创新，建立健全体制机制，持续深化林长制改革示范区建设，建成3个林长制改革示范区、3个林长制改革示范区先行区和9个市级林长制改革创新点，形成一批可示范推广的成功经验。</w:t>
      </w:r>
    </w:p>
    <w:p w14:paraId="41A85E34">
      <w:pPr>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——基础设施更加完善。</w:t>
      </w:r>
      <w:r>
        <w:rPr>
          <w:rFonts w:hint="eastAsia" w:ascii="仿宋_GB2312" w:hAnsi="仿宋_GB2312" w:eastAsia="仿宋_GB2312" w:cs="仿宋_GB2312"/>
          <w:sz w:val="32"/>
          <w:szCs w:val="32"/>
          <w:lang w:val="zh-CN"/>
        </w:rPr>
        <w:t>全面夯实林业基础设施建设，巩固林业发展基础，推动林业科技化、标准化、良种化发展，加强林业科技推广，积极与科研院所合作，不断提升林业科技水平，到2025年，全市主要造林树种良种使用率达88%以上，新建标准化林业站10个，建设黄山市林木育种和森林培育国家长期科研基地。</w:t>
      </w:r>
    </w:p>
    <w:p w14:paraId="6B1A2080">
      <w:pPr>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——法治保障更为有力。</w:t>
      </w:r>
      <w:r>
        <w:rPr>
          <w:rFonts w:hint="eastAsia" w:ascii="仿宋_GB2312" w:hAnsi="仿宋_GB2312" w:eastAsia="仿宋_GB2312" w:cs="仿宋_GB2312"/>
          <w:sz w:val="32"/>
          <w:szCs w:val="32"/>
          <w:lang w:val="zh-CN"/>
        </w:rPr>
        <w:t>林业法律法规体系不断健全，体制机制不断完善，深入开展八五普法，使林业普法宣传更加深入，学法、守法的观念更加牢固。林业综合执法改革全面完成，行政执法队伍能力大幅提升。</w:t>
      </w:r>
    </w:p>
    <w:p w14:paraId="1F4D244E">
      <w:pPr>
        <w:ind w:firstLine="560"/>
      </w:pPr>
    </w:p>
    <w:p w14:paraId="7F35065B">
      <w:pPr>
        <w:pStyle w:val="7"/>
        <w:pageBreakBefore w:val="0"/>
        <w:widowControl w:val="0"/>
        <w:kinsoku/>
        <w:wordWrap/>
        <w:overflowPunct/>
        <w:topLinePunct w:val="0"/>
        <w:autoSpaceDE/>
        <w:autoSpaceDN/>
        <w:bidi w:val="0"/>
        <w:adjustRightInd/>
        <w:snapToGrid/>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（二）具体指标</w:t>
      </w:r>
    </w:p>
    <w:p w14:paraId="08C2AEA0">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hAnsi="Times New Roman" w:eastAsia="仿宋_GB2312"/>
          <w:b/>
          <w:bCs/>
          <w:sz w:val="24"/>
          <w:szCs w:val="24"/>
          <w:lang w:val="zh-CN"/>
        </w:rPr>
      </w:pPr>
      <w:r>
        <w:rPr>
          <w:rFonts w:hint="eastAsia" w:ascii="仿宋_GB2312" w:hAnsi="Times New Roman" w:eastAsia="仿宋_GB2312"/>
          <w:b/>
          <w:bCs/>
          <w:sz w:val="24"/>
          <w:szCs w:val="24"/>
          <w:lang w:val="zh-CN"/>
        </w:rPr>
        <w:t>表</w:t>
      </w:r>
      <w:r>
        <w:rPr>
          <w:rFonts w:ascii="Times New Roman" w:hAnsi="Times New Roman" w:eastAsia="仿宋_GB2312"/>
          <w:b/>
          <w:bCs/>
          <w:sz w:val="24"/>
          <w:szCs w:val="24"/>
          <w:lang w:val="zh-CN"/>
        </w:rPr>
        <w:t>3-1</w:t>
      </w:r>
      <w:r>
        <w:rPr>
          <w:rFonts w:hint="eastAsia" w:ascii="仿宋_GB2312" w:hAnsi="Times New Roman" w:eastAsia="仿宋_GB2312"/>
          <w:b/>
          <w:bCs/>
          <w:sz w:val="24"/>
          <w:szCs w:val="24"/>
          <w:lang w:val="zh-CN"/>
        </w:rPr>
        <w:t xml:space="preserve"> 黄山市林业保护发展“十四五”规划目标一览表</w:t>
      </w:r>
    </w:p>
    <w:tbl>
      <w:tblPr>
        <w:tblStyle w:val="20"/>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59"/>
        <w:gridCol w:w="2584"/>
        <w:gridCol w:w="1259"/>
        <w:gridCol w:w="1263"/>
        <w:gridCol w:w="991"/>
      </w:tblGrid>
      <w:tr w14:paraId="46A1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668" w:type="dxa"/>
            <w:vAlign w:val="center"/>
          </w:tcPr>
          <w:p w14:paraId="5CF55E27">
            <w:pPr>
              <w:wordWrap w:val="0"/>
              <w:spacing w:line="240" w:lineRule="auto"/>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序号</w:t>
            </w:r>
          </w:p>
        </w:tc>
        <w:tc>
          <w:tcPr>
            <w:tcW w:w="1159" w:type="dxa"/>
            <w:vAlign w:val="center"/>
          </w:tcPr>
          <w:p w14:paraId="3BD683C8">
            <w:pPr>
              <w:wordWrap w:val="0"/>
              <w:spacing w:line="240" w:lineRule="auto"/>
              <w:ind w:firstLine="0" w:firstLineChars="0"/>
              <w:jc w:val="center"/>
              <w:rPr>
                <w:rFonts w:ascii="宋体" w:hAnsi="宋体" w:eastAsia="宋体" w:cs="宋体"/>
                <w:b/>
                <w:bCs/>
                <w:sz w:val="21"/>
                <w:szCs w:val="21"/>
                <w:lang w:val="zh-CN"/>
              </w:rPr>
            </w:pPr>
            <w:r>
              <w:rPr>
                <w:rFonts w:hint="eastAsia" w:ascii="仿宋_GB2312" w:hAnsi="Times New Roman" w:eastAsia="仿宋_GB2312"/>
                <w:b/>
                <w:bCs/>
                <w:sz w:val="21"/>
                <w:szCs w:val="21"/>
                <w:lang w:val="zh-CN"/>
              </w:rPr>
              <w:t>指标类别</w:t>
            </w:r>
          </w:p>
        </w:tc>
        <w:tc>
          <w:tcPr>
            <w:tcW w:w="2584" w:type="dxa"/>
            <w:vAlign w:val="center"/>
          </w:tcPr>
          <w:p w14:paraId="60383642">
            <w:pPr>
              <w:wordWrap w:val="0"/>
              <w:spacing w:line="240" w:lineRule="auto"/>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指标</w:t>
            </w:r>
          </w:p>
        </w:tc>
        <w:tc>
          <w:tcPr>
            <w:tcW w:w="1259" w:type="dxa"/>
            <w:vAlign w:val="center"/>
          </w:tcPr>
          <w:p w14:paraId="4B01C6FF">
            <w:pPr>
              <w:wordWrap w:val="0"/>
              <w:spacing w:line="240" w:lineRule="auto"/>
              <w:ind w:firstLine="0" w:firstLineChars="0"/>
              <w:jc w:val="center"/>
              <w:rPr>
                <w:rFonts w:ascii="仿宋_GB2312" w:hAnsi="Times New Roman" w:eastAsia="仿宋_GB2312"/>
                <w:b/>
                <w:bCs/>
                <w:sz w:val="21"/>
                <w:szCs w:val="21"/>
                <w:lang w:val="zh-CN"/>
              </w:rPr>
            </w:pPr>
            <w:r>
              <w:rPr>
                <w:rFonts w:hint="eastAsia" w:ascii="Times New Roman" w:hAnsi="Times New Roman" w:eastAsia="仿宋_GB2312"/>
                <w:b/>
                <w:bCs/>
                <w:sz w:val="21"/>
                <w:szCs w:val="21"/>
                <w:lang w:val="zh-CN"/>
              </w:rPr>
              <w:t>2020</w:t>
            </w:r>
            <w:r>
              <w:rPr>
                <w:rFonts w:hint="eastAsia" w:ascii="仿宋_GB2312" w:hAnsi="Times New Roman" w:eastAsia="仿宋_GB2312"/>
                <w:b/>
                <w:bCs/>
                <w:sz w:val="21"/>
                <w:szCs w:val="21"/>
                <w:lang w:val="zh-CN"/>
              </w:rPr>
              <w:t>年</w:t>
            </w:r>
          </w:p>
          <w:p w14:paraId="6E28EE1A">
            <w:pPr>
              <w:wordWrap w:val="0"/>
              <w:spacing w:line="240" w:lineRule="auto"/>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基期值</w:t>
            </w:r>
          </w:p>
        </w:tc>
        <w:tc>
          <w:tcPr>
            <w:tcW w:w="1263" w:type="dxa"/>
            <w:vAlign w:val="center"/>
          </w:tcPr>
          <w:p w14:paraId="455A7370">
            <w:pPr>
              <w:wordWrap w:val="0"/>
              <w:spacing w:line="240" w:lineRule="auto"/>
              <w:ind w:firstLine="0" w:firstLineChars="0"/>
              <w:jc w:val="center"/>
              <w:rPr>
                <w:rFonts w:ascii="仿宋_GB2312" w:hAnsi="Times New Roman" w:eastAsia="仿宋_GB2312"/>
                <w:b/>
                <w:bCs/>
                <w:sz w:val="21"/>
                <w:szCs w:val="21"/>
                <w:lang w:val="zh-CN"/>
              </w:rPr>
            </w:pPr>
            <w:r>
              <w:rPr>
                <w:rFonts w:hint="eastAsia" w:ascii="Times New Roman" w:hAnsi="Times New Roman" w:eastAsia="仿宋_GB2312"/>
                <w:b/>
                <w:bCs/>
                <w:sz w:val="21"/>
                <w:szCs w:val="21"/>
                <w:lang w:val="zh-CN"/>
              </w:rPr>
              <w:t>2025</w:t>
            </w:r>
            <w:r>
              <w:rPr>
                <w:rFonts w:hint="eastAsia" w:ascii="仿宋_GB2312" w:hAnsi="Times New Roman" w:eastAsia="仿宋_GB2312"/>
                <w:b/>
                <w:bCs/>
                <w:sz w:val="21"/>
                <w:szCs w:val="21"/>
                <w:lang w:val="zh-CN"/>
              </w:rPr>
              <w:t>年</w:t>
            </w:r>
          </w:p>
          <w:p w14:paraId="6558DA36">
            <w:pPr>
              <w:wordWrap w:val="0"/>
              <w:spacing w:line="240" w:lineRule="auto"/>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目标值</w:t>
            </w:r>
          </w:p>
        </w:tc>
        <w:tc>
          <w:tcPr>
            <w:tcW w:w="991" w:type="dxa"/>
            <w:vAlign w:val="center"/>
          </w:tcPr>
          <w:p w14:paraId="1B7062CC">
            <w:pPr>
              <w:wordWrap w:val="0"/>
              <w:spacing w:line="240" w:lineRule="auto"/>
              <w:ind w:firstLine="0" w:firstLineChars="0"/>
              <w:jc w:val="center"/>
              <w:rPr>
                <w:rFonts w:ascii="仿宋_GB2312" w:hAnsi="Times New Roman" w:eastAsia="仿宋_GB2312"/>
                <w:b/>
                <w:bCs/>
                <w:sz w:val="21"/>
                <w:szCs w:val="21"/>
                <w:lang w:val="zh-CN"/>
              </w:rPr>
            </w:pPr>
            <w:r>
              <w:rPr>
                <w:rFonts w:hint="eastAsia" w:ascii="仿宋_GB2312" w:hAnsi="Times New Roman" w:eastAsia="仿宋_GB2312"/>
                <w:b/>
                <w:bCs/>
                <w:sz w:val="21"/>
                <w:szCs w:val="21"/>
                <w:lang w:val="zh-CN"/>
              </w:rPr>
              <w:t>属性</w:t>
            </w:r>
          </w:p>
        </w:tc>
      </w:tr>
      <w:tr w14:paraId="0B29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34D97E5E">
            <w:pPr>
              <w:wordWrap w:val="0"/>
              <w:spacing w:line="240" w:lineRule="auto"/>
              <w:ind w:firstLine="0" w:firstLineChars="0"/>
              <w:jc w:val="center"/>
              <w:rPr>
                <w:rFonts w:ascii="宋体" w:hAnsi="宋体" w:eastAsia="宋体" w:cs="宋体"/>
                <w:sz w:val="21"/>
                <w:szCs w:val="21"/>
              </w:rPr>
            </w:pPr>
            <w:r>
              <w:rPr>
                <w:rFonts w:hint="eastAsia" w:ascii="Times New Roman" w:hAnsi="Times New Roman" w:eastAsia="仿宋_GB2312"/>
                <w:sz w:val="21"/>
                <w:szCs w:val="21"/>
                <w:lang w:val="zh-CN"/>
              </w:rPr>
              <w:t>1</w:t>
            </w:r>
          </w:p>
        </w:tc>
        <w:tc>
          <w:tcPr>
            <w:tcW w:w="1159" w:type="dxa"/>
            <w:vAlign w:val="center"/>
          </w:tcPr>
          <w:p w14:paraId="31972410">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612FB9DE">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森林覆盖率（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0BCC8D95">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82.9</w:t>
            </w:r>
          </w:p>
        </w:tc>
        <w:tc>
          <w:tcPr>
            <w:tcW w:w="1263" w:type="dxa"/>
            <w:vAlign w:val="center"/>
          </w:tcPr>
          <w:p w14:paraId="5244A82F">
            <w:pPr>
              <w:wordWrap w:val="0"/>
              <w:spacing w:line="240" w:lineRule="auto"/>
              <w:ind w:firstLine="0" w:firstLineChars="0"/>
              <w:jc w:val="center"/>
              <w:rPr>
                <w:rFonts w:ascii="宋体" w:hAnsi="宋体" w:eastAsia="宋体" w:cs="宋体"/>
                <w:sz w:val="21"/>
                <w:szCs w:val="21"/>
              </w:rPr>
            </w:pPr>
            <w:r>
              <w:rPr>
                <w:rFonts w:hint="eastAsia" w:ascii="仿宋_GB2312" w:hAnsi="Times New Roman" w:eastAsia="仿宋_GB2312"/>
                <w:sz w:val="21"/>
                <w:szCs w:val="21"/>
                <w:lang w:val="zh-CN"/>
              </w:rPr>
              <w:t>保持全国前列</w:t>
            </w:r>
          </w:p>
        </w:tc>
        <w:tc>
          <w:tcPr>
            <w:tcW w:w="991" w:type="dxa"/>
            <w:vAlign w:val="center"/>
          </w:tcPr>
          <w:p w14:paraId="3245EA2F">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4270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074D2E1D">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2</w:t>
            </w:r>
          </w:p>
        </w:tc>
        <w:tc>
          <w:tcPr>
            <w:tcW w:w="1159" w:type="dxa"/>
            <w:vAlign w:val="center"/>
          </w:tcPr>
          <w:p w14:paraId="674DD35A">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091D9E46">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林木绿化率（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1C20F79F">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84.7</w:t>
            </w:r>
          </w:p>
        </w:tc>
        <w:tc>
          <w:tcPr>
            <w:tcW w:w="1263" w:type="dxa"/>
            <w:vAlign w:val="center"/>
          </w:tcPr>
          <w:p w14:paraId="728A418B">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84.7</w:t>
            </w:r>
          </w:p>
        </w:tc>
        <w:tc>
          <w:tcPr>
            <w:tcW w:w="991" w:type="dxa"/>
            <w:vAlign w:val="center"/>
          </w:tcPr>
          <w:p w14:paraId="3F729E95">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086E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1F42DC50">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3</w:t>
            </w:r>
          </w:p>
        </w:tc>
        <w:tc>
          <w:tcPr>
            <w:tcW w:w="1159" w:type="dxa"/>
            <w:vAlign w:val="center"/>
          </w:tcPr>
          <w:p w14:paraId="1AE73B2C">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1D5CA493">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森林蓄积量（万立方米）</w:t>
            </w:r>
          </w:p>
        </w:tc>
        <w:tc>
          <w:tcPr>
            <w:tcW w:w="1259" w:type="dxa"/>
            <w:vAlign w:val="center"/>
          </w:tcPr>
          <w:p w14:paraId="4C9FC69B">
            <w:pPr>
              <w:wordWrap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4490</w:t>
            </w:r>
          </w:p>
        </w:tc>
        <w:tc>
          <w:tcPr>
            <w:tcW w:w="1263" w:type="dxa"/>
            <w:vAlign w:val="center"/>
          </w:tcPr>
          <w:p w14:paraId="3084676F">
            <w:pPr>
              <w:wordWrap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6000</w:t>
            </w:r>
          </w:p>
        </w:tc>
        <w:tc>
          <w:tcPr>
            <w:tcW w:w="991" w:type="dxa"/>
            <w:vAlign w:val="center"/>
          </w:tcPr>
          <w:p w14:paraId="193AFFAF">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48FA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468ACF25">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4</w:t>
            </w:r>
          </w:p>
        </w:tc>
        <w:tc>
          <w:tcPr>
            <w:tcW w:w="1159" w:type="dxa"/>
            <w:vAlign w:val="center"/>
          </w:tcPr>
          <w:p w14:paraId="7EE10500">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5EF17CB1">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公益林保有量（万亩）</w:t>
            </w:r>
          </w:p>
        </w:tc>
        <w:tc>
          <w:tcPr>
            <w:tcW w:w="1259" w:type="dxa"/>
            <w:vAlign w:val="center"/>
          </w:tcPr>
          <w:p w14:paraId="39BA6DD5">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535</w:t>
            </w:r>
          </w:p>
        </w:tc>
        <w:tc>
          <w:tcPr>
            <w:tcW w:w="1263" w:type="dxa"/>
            <w:vAlign w:val="center"/>
          </w:tcPr>
          <w:p w14:paraId="28D60850">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535</w:t>
            </w:r>
          </w:p>
        </w:tc>
        <w:tc>
          <w:tcPr>
            <w:tcW w:w="991" w:type="dxa"/>
            <w:vAlign w:val="center"/>
          </w:tcPr>
          <w:p w14:paraId="5EEC6052">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6393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31B2F765">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5</w:t>
            </w:r>
          </w:p>
        </w:tc>
        <w:tc>
          <w:tcPr>
            <w:tcW w:w="1159" w:type="dxa"/>
            <w:vAlign w:val="center"/>
          </w:tcPr>
          <w:p w14:paraId="0579608B">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10F7D1B2">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湿地保有量（万亩）</w:t>
            </w:r>
          </w:p>
        </w:tc>
        <w:tc>
          <w:tcPr>
            <w:tcW w:w="1259" w:type="dxa"/>
            <w:vAlign w:val="center"/>
          </w:tcPr>
          <w:p w14:paraId="524AE93B">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33.18</w:t>
            </w:r>
          </w:p>
        </w:tc>
        <w:tc>
          <w:tcPr>
            <w:tcW w:w="1263" w:type="dxa"/>
            <w:vAlign w:val="center"/>
          </w:tcPr>
          <w:p w14:paraId="34853C03">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33.18</w:t>
            </w:r>
          </w:p>
        </w:tc>
        <w:tc>
          <w:tcPr>
            <w:tcW w:w="991" w:type="dxa"/>
            <w:vAlign w:val="center"/>
          </w:tcPr>
          <w:p w14:paraId="215D0D9C">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7654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1B0AF207">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6</w:t>
            </w:r>
          </w:p>
        </w:tc>
        <w:tc>
          <w:tcPr>
            <w:tcW w:w="1159" w:type="dxa"/>
            <w:vAlign w:val="center"/>
          </w:tcPr>
          <w:p w14:paraId="27C0D313">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52A0A7C1">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湿地保护率（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3D3A3917">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62.87</w:t>
            </w:r>
          </w:p>
        </w:tc>
        <w:tc>
          <w:tcPr>
            <w:tcW w:w="1263" w:type="dxa"/>
            <w:vAlign w:val="center"/>
          </w:tcPr>
          <w:p w14:paraId="00D6F18B">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70</w:t>
            </w:r>
          </w:p>
        </w:tc>
        <w:tc>
          <w:tcPr>
            <w:tcW w:w="991" w:type="dxa"/>
            <w:vAlign w:val="center"/>
          </w:tcPr>
          <w:p w14:paraId="646AE59A">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1B99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57EB8E48">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7</w:t>
            </w:r>
          </w:p>
        </w:tc>
        <w:tc>
          <w:tcPr>
            <w:tcW w:w="1159" w:type="dxa"/>
            <w:vAlign w:val="center"/>
          </w:tcPr>
          <w:p w14:paraId="70400D82">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3CE904AE">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自然保护地占国土面积比例</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6832A7D3">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10.07</w:t>
            </w:r>
          </w:p>
        </w:tc>
        <w:tc>
          <w:tcPr>
            <w:tcW w:w="1263" w:type="dxa"/>
            <w:vAlign w:val="center"/>
          </w:tcPr>
          <w:p w14:paraId="7C0CF8C1">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12</w:t>
            </w:r>
          </w:p>
        </w:tc>
        <w:tc>
          <w:tcPr>
            <w:tcW w:w="991" w:type="dxa"/>
            <w:vAlign w:val="center"/>
          </w:tcPr>
          <w:p w14:paraId="7A94ECC4">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5FA5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33A113A9">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8</w:t>
            </w:r>
          </w:p>
        </w:tc>
        <w:tc>
          <w:tcPr>
            <w:tcW w:w="1159" w:type="dxa"/>
            <w:vAlign w:val="center"/>
          </w:tcPr>
          <w:p w14:paraId="20D5C595">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582B10E2">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国家重点保护野生动植物种保护率（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0B014A4E">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95</w:t>
            </w:r>
          </w:p>
        </w:tc>
        <w:tc>
          <w:tcPr>
            <w:tcW w:w="1263" w:type="dxa"/>
            <w:vAlign w:val="center"/>
          </w:tcPr>
          <w:p w14:paraId="2B240F7F">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96</w:t>
            </w:r>
          </w:p>
        </w:tc>
        <w:tc>
          <w:tcPr>
            <w:tcW w:w="991" w:type="dxa"/>
            <w:vAlign w:val="center"/>
          </w:tcPr>
          <w:p w14:paraId="1B6CCEEC">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258A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3ADF0983">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9</w:t>
            </w:r>
          </w:p>
        </w:tc>
        <w:tc>
          <w:tcPr>
            <w:tcW w:w="1159" w:type="dxa"/>
            <w:vAlign w:val="center"/>
          </w:tcPr>
          <w:p w14:paraId="2D73FC0C">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生态保护</w:t>
            </w:r>
          </w:p>
        </w:tc>
        <w:tc>
          <w:tcPr>
            <w:tcW w:w="2584" w:type="dxa"/>
            <w:vAlign w:val="center"/>
          </w:tcPr>
          <w:p w14:paraId="480F2801">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建成区绿化覆盖率（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10B7AC2C">
            <w:pPr>
              <w:wordWrap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48.03</w:t>
            </w:r>
          </w:p>
        </w:tc>
        <w:tc>
          <w:tcPr>
            <w:tcW w:w="1263" w:type="dxa"/>
            <w:vAlign w:val="center"/>
          </w:tcPr>
          <w:p w14:paraId="04DD2C82">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49.</w:t>
            </w:r>
            <w:r>
              <w:rPr>
                <w:rFonts w:hint="eastAsia" w:ascii="Times New Roman" w:hAnsi="Times New Roman" w:eastAsia="仿宋_GB2312"/>
                <w:sz w:val="21"/>
                <w:szCs w:val="21"/>
              </w:rPr>
              <w:t>00</w:t>
            </w:r>
          </w:p>
        </w:tc>
        <w:tc>
          <w:tcPr>
            <w:tcW w:w="991" w:type="dxa"/>
            <w:vAlign w:val="center"/>
          </w:tcPr>
          <w:p w14:paraId="6DBC0AD5">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2338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7A6FB3C3">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10</w:t>
            </w:r>
          </w:p>
        </w:tc>
        <w:tc>
          <w:tcPr>
            <w:tcW w:w="1159" w:type="dxa"/>
            <w:vAlign w:val="center"/>
          </w:tcPr>
          <w:p w14:paraId="58E13ACE">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基础保障</w:t>
            </w:r>
          </w:p>
        </w:tc>
        <w:tc>
          <w:tcPr>
            <w:tcW w:w="2584" w:type="dxa"/>
            <w:vAlign w:val="center"/>
          </w:tcPr>
          <w:p w14:paraId="7C51A305">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森林火灾受害率（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18D91E71">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0.</w:t>
            </w:r>
            <w:r>
              <w:rPr>
                <w:rFonts w:hint="eastAsia" w:ascii="Times New Roman" w:hAnsi="Times New Roman" w:eastAsia="仿宋_GB2312"/>
                <w:sz w:val="21"/>
                <w:szCs w:val="21"/>
              </w:rPr>
              <w:t>3</w:t>
            </w:r>
          </w:p>
        </w:tc>
        <w:tc>
          <w:tcPr>
            <w:tcW w:w="1263" w:type="dxa"/>
            <w:vAlign w:val="center"/>
          </w:tcPr>
          <w:p w14:paraId="2DE68E4D">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0.</w:t>
            </w:r>
            <w:r>
              <w:rPr>
                <w:rFonts w:hint="eastAsia" w:ascii="Times New Roman" w:hAnsi="Times New Roman" w:eastAsia="仿宋_GB2312"/>
                <w:sz w:val="21"/>
                <w:szCs w:val="21"/>
              </w:rPr>
              <w:t>3</w:t>
            </w:r>
          </w:p>
        </w:tc>
        <w:tc>
          <w:tcPr>
            <w:tcW w:w="991" w:type="dxa"/>
            <w:vAlign w:val="center"/>
          </w:tcPr>
          <w:p w14:paraId="2D517AA4">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1115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0D0EE9E7">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11</w:t>
            </w:r>
          </w:p>
        </w:tc>
        <w:tc>
          <w:tcPr>
            <w:tcW w:w="1159" w:type="dxa"/>
            <w:vAlign w:val="center"/>
          </w:tcPr>
          <w:p w14:paraId="4702CC5E">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基础保障</w:t>
            </w:r>
          </w:p>
        </w:tc>
        <w:tc>
          <w:tcPr>
            <w:tcW w:w="2584" w:type="dxa"/>
            <w:vAlign w:val="center"/>
          </w:tcPr>
          <w:p w14:paraId="5FE79498">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林业有害生物成灾率（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4D466C45">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2.65</w:t>
            </w:r>
          </w:p>
        </w:tc>
        <w:tc>
          <w:tcPr>
            <w:tcW w:w="1263" w:type="dxa"/>
            <w:vAlign w:val="center"/>
          </w:tcPr>
          <w:p w14:paraId="1EEFC490">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2.65</w:t>
            </w:r>
          </w:p>
        </w:tc>
        <w:tc>
          <w:tcPr>
            <w:tcW w:w="991" w:type="dxa"/>
            <w:vAlign w:val="center"/>
          </w:tcPr>
          <w:p w14:paraId="0E908807">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约束性</w:t>
            </w:r>
          </w:p>
        </w:tc>
      </w:tr>
      <w:tr w14:paraId="00EC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7025894A">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12</w:t>
            </w:r>
          </w:p>
        </w:tc>
        <w:tc>
          <w:tcPr>
            <w:tcW w:w="1159" w:type="dxa"/>
            <w:vAlign w:val="center"/>
          </w:tcPr>
          <w:p w14:paraId="40A3D517">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基础保障</w:t>
            </w:r>
          </w:p>
        </w:tc>
        <w:tc>
          <w:tcPr>
            <w:tcW w:w="2584" w:type="dxa"/>
            <w:vAlign w:val="center"/>
          </w:tcPr>
          <w:p w14:paraId="1918C69C">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林木良种使用率（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3DDDB90A">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85</w:t>
            </w:r>
          </w:p>
        </w:tc>
        <w:tc>
          <w:tcPr>
            <w:tcW w:w="1263" w:type="dxa"/>
            <w:vAlign w:val="center"/>
          </w:tcPr>
          <w:p w14:paraId="1E984063">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88</w:t>
            </w:r>
          </w:p>
        </w:tc>
        <w:tc>
          <w:tcPr>
            <w:tcW w:w="991" w:type="dxa"/>
            <w:vAlign w:val="center"/>
          </w:tcPr>
          <w:p w14:paraId="7654AF56">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预期性</w:t>
            </w:r>
          </w:p>
        </w:tc>
      </w:tr>
      <w:tr w14:paraId="4DD9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5930840F">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13</w:t>
            </w:r>
          </w:p>
        </w:tc>
        <w:tc>
          <w:tcPr>
            <w:tcW w:w="1159" w:type="dxa"/>
            <w:vAlign w:val="center"/>
          </w:tcPr>
          <w:p w14:paraId="122194BC">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基础保障</w:t>
            </w:r>
          </w:p>
        </w:tc>
        <w:tc>
          <w:tcPr>
            <w:tcW w:w="2584" w:type="dxa"/>
            <w:vAlign w:val="center"/>
          </w:tcPr>
          <w:p w14:paraId="5705C670">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林业科技进步贡献率（</w:t>
            </w:r>
            <w:r>
              <w:rPr>
                <w:rFonts w:ascii="Times New Roman" w:hAnsi="Times New Roman" w:eastAsia="仿宋_GB2312"/>
                <w:sz w:val="21"/>
                <w:szCs w:val="21"/>
              </w:rPr>
              <w:t>%</w:t>
            </w:r>
            <w:r>
              <w:rPr>
                <w:rFonts w:hint="eastAsia" w:ascii="仿宋_GB2312" w:hAnsi="Times New Roman" w:eastAsia="仿宋_GB2312"/>
                <w:sz w:val="21"/>
                <w:szCs w:val="21"/>
              </w:rPr>
              <w:t>）</w:t>
            </w:r>
          </w:p>
        </w:tc>
        <w:tc>
          <w:tcPr>
            <w:tcW w:w="1259" w:type="dxa"/>
            <w:vAlign w:val="center"/>
          </w:tcPr>
          <w:p w14:paraId="63A4C28E">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60</w:t>
            </w:r>
          </w:p>
        </w:tc>
        <w:tc>
          <w:tcPr>
            <w:tcW w:w="1263" w:type="dxa"/>
            <w:vAlign w:val="center"/>
          </w:tcPr>
          <w:p w14:paraId="38B06980">
            <w:pPr>
              <w:wordWrap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62</w:t>
            </w:r>
          </w:p>
        </w:tc>
        <w:tc>
          <w:tcPr>
            <w:tcW w:w="991" w:type="dxa"/>
            <w:vAlign w:val="center"/>
          </w:tcPr>
          <w:p w14:paraId="0CE8C7AD">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预期性</w:t>
            </w:r>
          </w:p>
        </w:tc>
      </w:tr>
      <w:tr w14:paraId="1CD5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8" w:type="dxa"/>
            <w:vAlign w:val="center"/>
          </w:tcPr>
          <w:p w14:paraId="3BC9AB49">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14</w:t>
            </w:r>
          </w:p>
        </w:tc>
        <w:tc>
          <w:tcPr>
            <w:tcW w:w="1159" w:type="dxa"/>
            <w:vAlign w:val="center"/>
          </w:tcPr>
          <w:p w14:paraId="1B4AC82C">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经济民生</w:t>
            </w:r>
          </w:p>
        </w:tc>
        <w:tc>
          <w:tcPr>
            <w:tcW w:w="2584" w:type="dxa"/>
            <w:vAlign w:val="center"/>
          </w:tcPr>
          <w:p w14:paraId="6CF1A389">
            <w:pPr>
              <w:wordWrap w:val="0"/>
              <w:spacing w:line="240" w:lineRule="auto"/>
              <w:ind w:firstLine="0" w:firstLineChars="0"/>
              <w:jc w:val="center"/>
              <w:rPr>
                <w:rFonts w:ascii="仿宋_GB2312" w:hAnsi="Times New Roman" w:eastAsia="仿宋_GB2312"/>
                <w:sz w:val="21"/>
                <w:szCs w:val="21"/>
              </w:rPr>
            </w:pPr>
            <w:r>
              <w:rPr>
                <w:rFonts w:hint="eastAsia" w:ascii="仿宋_GB2312" w:hAnsi="Times New Roman" w:eastAsia="仿宋_GB2312"/>
                <w:sz w:val="21"/>
                <w:szCs w:val="21"/>
              </w:rPr>
              <w:t>林业产业产值（亿元）</w:t>
            </w:r>
          </w:p>
        </w:tc>
        <w:tc>
          <w:tcPr>
            <w:tcW w:w="1259" w:type="dxa"/>
            <w:vAlign w:val="center"/>
          </w:tcPr>
          <w:p w14:paraId="2DF59ED6">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380</w:t>
            </w:r>
          </w:p>
        </w:tc>
        <w:tc>
          <w:tcPr>
            <w:tcW w:w="1263" w:type="dxa"/>
            <w:vAlign w:val="center"/>
          </w:tcPr>
          <w:p w14:paraId="1D65C04B">
            <w:pPr>
              <w:wordWrap w:val="0"/>
              <w:spacing w:line="240" w:lineRule="auto"/>
              <w:ind w:firstLine="0" w:firstLineChars="0"/>
              <w:jc w:val="center"/>
              <w:rPr>
                <w:rFonts w:ascii="Times New Roman" w:hAnsi="Times New Roman" w:eastAsia="仿宋_GB2312"/>
                <w:sz w:val="21"/>
                <w:szCs w:val="21"/>
                <w:lang w:val="zh-CN"/>
              </w:rPr>
            </w:pPr>
            <w:r>
              <w:rPr>
                <w:rFonts w:hint="eastAsia" w:ascii="Times New Roman" w:hAnsi="Times New Roman" w:eastAsia="仿宋_GB2312"/>
                <w:sz w:val="21"/>
                <w:szCs w:val="21"/>
                <w:lang w:val="zh-CN"/>
              </w:rPr>
              <w:t>50</w:t>
            </w:r>
            <w:r>
              <w:rPr>
                <w:rFonts w:hint="eastAsia" w:ascii="Times New Roman" w:hAnsi="Times New Roman" w:eastAsia="仿宋_GB2312"/>
                <w:sz w:val="21"/>
                <w:szCs w:val="21"/>
              </w:rPr>
              <w:t>0</w:t>
            </w:r>
          </w:p>
        </w:tc>
        <w:tc>
          <w:tcPr>
            <w:tcW w:w="991" w:type="dxa"/>
            <w:vAlign w:val="center"/>
          </w:tcPr>
          <w:p w14:paraId="161CAB09">
            <w:pPr>
              <w:wordWrap w:val="0"/>
              <w:spacing w:line="240" w:lineRule="auto"/>
              <w:ind w:firstLine="0" w:firstLineChars="0"/>
              <w:jc w:val="center"/>
              <w:rPr>
                <w:rFonts w:ascii="仿宋_GB2312" w:hAnsi="Times New Roman" w:eastAsia="仿宋_GB2312"/>
                <w:sz w:val="21"/>
                <w:szCs w:val="21"/>
                <w:lang w:val="zh-CN"/>
              </w:rPr>
            </w:pPr>
            <w:r>
              <w:rPr>
                <w:rFonts w:hint="eastAsia" w:ascii="仿宋_GB2312" w:hAnsi="Times New Roman" w:eastAsia="仿宋_GB2312"/>
                <w:sz w:val="21"/>
                <w:szCs w:val="21"/>
                <w:lang w:val="zh-CN"/>
              </w:rPr>
              <w:t>预期性</w:t>
            </w:r>
          </w:p>
        </w:tc>
      </w:tr>
    </w:tbl>
    <w:p w14:paraId="2386AE6C">
      <w:pPr>
        <w:ind w:firstLine="0" w:firstLineChars="0"/>
      </w:pPr>
      <w:r>
        <w:br w:type="page"/>
      </w:r>
    </w:p>
    <w:p w14:paraId="2A439D5C">
      <w:pPr>
        <w:pageBreakBefore w:val="0"/>
        <w:numPr>
          <w:ilvl w:val="0"/>
          <w:numId w:val="1"/>
        </w:numPr>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bookmarkStart w:id="129" w:name="_Toc8604"/>
      <w:bookmarkStart w:id="130" w:name="_Toc11568"/>
      <w:bookmarkStart w:id="131" w:name="_Toc2497"/>
      <w:bookmarkStart w:id="132" w:name="_Toc18510"/>
      <w:bookmarkStart w:id="133" w:name="_Toc11413"/>
      <w:bookmarkStart w:id="134" w:name="_Toc18685"/>
      <w:bookmarkStart w:id="135" w:name="_Toc24048"/>
      <w:bookmarkStart w:id="136" w:name="_Toc13676"/>
      <w:bookmarkStart w:id="137" w:name="_Toc23380"/>
      <w:r>
        <w:rPr>
          <w:rFonts w:hint="eastAsia" w:ascii="方正小标宋简体" w:hAnsi="方正小标宋简体" w:eastAsia="方正小标宋简体" w:cs="方正小标宋简体"/>
          <w:b w:val="0"/>
          <w:bCs w:val="0"/>
          <w:sz w:val="44"/>
          <w:szCs w:val="44"/>
        </w:rPr>
        <w:t>林业保护发展重大任务</w:t>
      </w:r>
      <w:bookmarkEnd w:id="129"/>
      <w:bookmarkEnd w:id="130"/>
      <w:bookmarkEnd w:id="131"/>
      <w:bookmarkEnd w:id="132"/>
      <w:bookmarkEnd w:id="133"/>
      <w:bookmarkEnd w:id="134"/>
      <w:bookmarkEnd w:id="135"/>
      <w:bookmarkEnd w:id="136"/>
      <w:bookmarkEnd w:id="137"/>
    </w:p>
    <w:p w14:paraId="5E5F8261">
      <w:pPr>
        <w:pStyle w:val="6"/>
        <w:pageBreakBefore w:val="0"/>
        <w:kinsoku/>
        <w:wordWrap/>
        <w:overflowPunct/>
        <w:topLinePunct w:val="0"/>
        <w:autoSpaceDE/>
        <w:autoSpaceDN/>
        <w:bidi w:val="0"/>
        <w:adjustRightInd/>
        <w:snapToGrid/>
        <w:spacing w:before="0" w:beforeLines="0" w:after="0" w:afterLines="0" w:line="560" w:lineRule="exact"/>
        <w:jc w:val="left"/>
        <w:textAlignment w:val="auto"/>
        <w:rPr>
          <w:rFonts w:hint="eastAsia" w:ascii="黑体" w:hAnsi="黑体" w:eastAsia="黑体" w:cs="黑体"/>
          <w:b w:val="0"/>
          <w:bCs w:val="0"/>
          <w:sz w:val="32"/>
          <w:szCs w:val="32"/>
        </w:rPr>
      </w:pPr>
      <w:bookmarkStart w:id="138" w:name="_Toc1139"/>
      <w:bookmarkStart w:id="139" w:name="_Toc5215"/>
      <w:bookmarkStart w:id="140" w:name="_Toc9664"/>
      <w:bookmarkStart w:id="141" w:name="_Toc21622"/>
      <w:bookmarkStart w:id="142" w:name="_Toc7512"/>
      <w:bookmarkStart w:id="143" w:name="_Toc17817"/>
      <w:bookmarkStart w:id="144" w:name="_Toc6979"/>
      <w:bookmarkStart w:id="145" w:name="_Toc22195"/>
      <w:bookmarkStart w:id="146" w:name="_Toc31573"/>
      <w:bookmarkStart w:id="147" w:name="_Toc32390"/>
      <w:bookmarkStart w:id="148" w:name="_Toc9100"/>
      <w:bookmarkStart w:id="149" w:name="_Toc28515"/>
      <w:bookmarkStart w:id="150" w:name="_Toc9383"/>
    </w:p>
    <w:p w14:paraId="5C563366">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一、推深做实林长制改革，创新林业发展机制</w:t>
      </w:r>
      <w:bookmarkEnd w:id="138"/>
      <w:bookmarkEnd w:id="139"/>
      <w:bookmarkEnd w:id="140"/>
      <w:bookmarkEnd w:id="141"/>
      <w:bookmarkEnd w:id="142"/>
      <w:bookmarkEnd w:id="143"/>
      <w:bookmarkEnd w:id="144"/>
      <w:bookmarkEnd w:id="145"/>
      <w:bookmarkEnd w:id="146"/>
    </w:p>
    <w:p w14:paraId="5C3DFAAE">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聚焦安徽省“五大森林”行动，以林长制改革为总抓手，实施林业建设八大重点工程，推动全市林业高质量发展。加快构建系统完备的管控指标，按照森林资源总量足、质量优、利用好的原则，研究形成可分解、可实施、可监测、可考核的指标体系，科学指导林长制实践。实施以提高森林资源质量和严格控制采伐量为核心的国有林场森林资源经营管理制度，按森林经营方案编制采伐限额、制定年度生产计划和开展森林经营活动。加强国有林场森林资源监测体系建设，建立健全国有林场森林资源管理档案，定期向社会公布国有林场森林资源状况，接受社会监督，对国有林场场长实行森林资源离任审计。</w:t>
      </w:r>
    </w:p>
    <w:p w14:paraId="099B097E">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积极探索创新林业发展机制。依托全市国有林场商品林资源及其他资产，盘活用好林业资源，成立市林业投资开发有限责任公司，积极争取国家储备林项目投资建设，促进林业可持续和高质量发展；扎实推进3个省级林长制改革示范先行区和9个市级改革创新点建设。立足黄山市资源禀赋和区域特点，着力推动黄山市黄山区、屯溪区和歙县林长制改革示范区先行区建设，探索建立林业综合执法体制机制、森林防灭火信息化管理机制、跨区域航空护林机制、松材线虫病防控机制创新区、绿水青山就是金山银山实践创新区，持续推进新安江流域林长制提升工程，探索建立新安江流域多元化生态补偿机制和融入“杭州都市圈”生态安全保护修复机制。</w:t>
      </w:r>
    </w:p>
    <w:p w14:paraId="5D272AC8">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51" w:name="_Toc9575"/>
      <w:bookmarkStart w:id="152" w:name="_Toc25919"/>
      <w:bookmarkStart w:id="153" w:name="_Toc24268"/>
      <w:bookmarkStart w:id="154" w:name="_Toc4761"/>
      <w:bookmarkStart w:id="155" w:name="_Toc8435"/>
      <w:r>
        <w:rPr>
          <w:rFonts w:hint="eastAsia" w:ascii="黑体" w:hAnsi="黑体" w:eastAsia="黑体" w:cs="黑体"/>
          <w:b w:val="0"/>
          <w:bCs w:val="0"/>
          <w:sz w:val="32"/>
          <w:szCs w:val="32"/>
        </w:rPr>
        <w:t>二、科学加强森林经营，提高生态服务功能</w:t>
      </w:r>
      <w:bookmarkEnd w:id="147"/>
      <w:bookmarkEnd w:id="148"/>
      <w:bookmarkEnd w:id="149"/>
      <w:bookmarkEnd w:id="150"/>
      <w:bookmarkEnd w:id="151"/>
      <w:bookmarkEnd w:id="152"/>
      <w:bookmarkEnd w:id="153"/>
      <w:bookmarkEnd w:id="154"/>
      <w:bookmarkEnd w:id="155"/>
    </w:p>
    <w:p w14:paraId="4E538FF1">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color w:val="191919"/>
          <w:kern w:val="0"/>
          <w:sz w:val="32"/>
          <w:szCs w:val="32"/>
          <w:shd w:val="clear" w:color="auto" w:fill="FFFFFF"/>
          <w:lang w:bidi="ar"/>
        </w:rPr>
      </w:pPr>
      <w:r>
        <w:rPr>
          <w:rFonts w:hint="eastAsia" w:ascii="仿宋_GB2312" w:hAnsi="仿宋_GB2312" w:eastAsia="仿宋_GB2312" w:cs="仿宋_GB2312"/>
          <w:sz w:val="32"/>
          <w:szCs w:val="32"/>
          <w:lang w:val="zh-CN"/>
        </w:rPr>
        <w:t>推动营造林任务由量的增加转变为质的提升，优化林种、树种结构，大力发展乡土树种和优良林种，培育适应气候变化的优质健康森林，不断提升森林生态服务、林产品供给和碳汇能力。践行“碳达峰、碳中和”战略，实施碳汇森林行动，做好林业碳汇项目储备，结合新安江生态补偿探索开发林业碳汇项目，</w:t>
      </w:r>
      <w:r>
        <w:rPr>
          <w:rFonts w:hint="eastAsia" w:ascii="仿宋_GB2312" w:hAnsi="仿宋_GB2312" w:eastAsia="仿宋_GB2312" w:cs="仿宋_GB2312"/>
          <w:sz w:val="32"/>
          <w:szCs w:val="32"/>
        </w:rPr>
        <w:t>提高森林固碳能力，</w:t>
      </w:r>
      <w:r>
        <w:rPr>
          <w:rFonts w:hint="eastAsia" w:ascii="仿宋_GB2312" w:hAnsi="仿宋_GB2312" w:eastAsia="仿宋_GB2312" w:cs="仿宋_GB2312"/>
          <w:color w:val="191919"/>
          <w:kern w:val="0"/>
          <w:sz w:val="32"/>
          <w:szCs w:val="32"/>
          <w:shd w:val="clear" w:color="auto" w:fill="FFFFFF"/>
          <w:lang w:bidi="ar"/>
        </w:rPr>
        <w:t>加快建立健全生态产品价值实现机制。推动森林质量精准提升和新安江生态廊道建设两大工程建设，科学加强森林经营，提供生态系统服务功能。</w:t>
      </w:r>
    </w:p>
    <w:p w14:paraId="09B059F8">
      <w:pPr>
        <w:pStyle w:val="7"/>
        <w:pageBreakBefore w:val="0"/>
        <w:kinsoku/>
        <w:wordWrap/>
        <w:overflowPunct/>
        <w:topLinePunct w:val="0"/>
        <w:autoSpaceDE/>
        <w:autoSpaceDN/>
        <w:bidi w:val="0"/>
        <w:spacing w:before="0" w:beforeLines="0" w:after="0" w:line="560" w:lineRule="exact"/>
        <w:ind w:firstLine="643" w:firstLineChars="200"/>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（一）森林质量精准提升工程。</w:t>
      </w:r>
    </w:p>
    <w:p w14:paraId="26090A3E">
      <w:pPr>
        <w:pageBreakBefore w:val="0"/>
        <w:widowControl/>
        <w:kinsoku/>
        <w:wordWrap/>
        <w:overflowPunct/>
        <w:topLinePunct w:val="0"/>
        <w:autoSpaceDE/>
        <w:autoSpaceDN/>
        <w:bidi w:val="0"/>
        <w:spacing w:line="560" w:lineRule="exact"/>
        <w:ind w:firstLine="562"/>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林分质量改造提升。</w:t>
      </w:r>
      <w:r>
        <w:rPr>
          <w:rFonts w:hint="eastAsia" w:ascii="仿宋_GB2312" w:hAnsi="仿宋_GB2312" w:eastAsia="仿宋_GB2312" w:cs="仿宋_GB2312"/>
          <w:sz w:val="32"/>
          <w:szCs w:val="32"/>
          <w:lang w:val="zh-CN"/>
        </w:rPr>
        <w:t>进一步推进国土绿化，重点在黟县、歙县、休宁县、祁门县推进林业增绿增效建设，通过结构调整、树种更替、补植补造、封山育林、森林抚育、嫁接复壮等方式，优化森林结构，保护生物多样性，逐步形成健康稳定优质高效的森林生态系统。加大中幼林抚育间伐力度，促进林木健康生长，增加单位面积森林蓄积量。加强林木良种选育，大力发展优良乡土树种、珍贵树种。积极培育混交林和异龄复层林，优化林种、树种结构，重点加强经济林、天然次生林、竹林和马尾松纯林等提升改造，全面增强森林的多种功能。精准采取速生丰产措施，积极发展用材林和国家储备林，加快培育大径级材。</w:t>
      </w:r>
    </w:p>
    <w:p w14:paraId="02401BFF">
      <w:pPr>
        <w:pageBreakBefore w:val="0"/>
        <w:kinsoku/>
        <w:wordWrap/>
        <w:overflowPunct/>
        <w:topLinePunct w:val="0"/>
        <w:autoSpaceDE/>
        <w:autoSpaceDN/>
        <w:bidi w:val="0"/>
        <w:adjustRightInd w:val="0"/>
        <w:spacing w:line="560" w:lineRule="exact"/>
        <w:ind w:firstLine="56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“四旁四边四创”绿化提升。</w:t>
      </w:r>
      <w:r>
        <w:rPr>
          <w:rFonts w:hint="eastAsia" w:ascii="仿宋_GB2312" w:hAnsi="仿宋_GB2312" w:eastAsia="仿宋_GB2312" w:cs="仿宋_GB2312"/>
          <w:sz w:val="32"/>
          <w:szCs w:val="32"/>
          <w:lang w:val="zh-CN"/>
        </w:rPr>
        <w:t>精准落实绿化空间，紧密结合乡村振兴战略和美丽乡村建设，突出抓好村庄绿化美化，持续推进省级森林城市、森林城镇、森林村庄创建。在农村宅旁、村旁、路旁、水旁等空闲隙地，增绿补绿、见缝插绿。依托城市周边自然山水格局，发展森林公园、郊野公园、植物园、树木园和湿地公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因地制宜，大力发展乡土树种，优先使用成本低、适应性强、成活率高、地方特色鲜明的乡土树种。依法合规开展铁路、公路、河渠两侧，湖库周边等绿化建设。严禁违规占用耕地绿化造林，确需占用的，必须依法依规严格履行审批手续。遏制耕地“非农化”、防止“非粮化”。</w:t>
      </w:r>
    </w:p>
    <w:p w14:paraId="21AB7FE4">
      <w:pPr>
        <w:pageBreakBefore w:val="0"/>
        <w:kinsoku/>
        <w:wordWrap/>
        <w:overflowPunct/>
        <w:topLinePunct w:val="0"/>
        <w:autoSpaceDE/>
        <w:autoSpaceDN/>
        <w:bidi w:val="0"/>
        <w:adjustRightIn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碳汇森林行动。</w:t>
      </w:r>
      <w:r>
        <w:rPr>
          <w:rFonts w:hint="eastAsia" w:ascii="仿宋_GB2312" w:hAnsi="仿宋_GB2312" w:eastAsia="仿宋_GB2312" w:cs="仿宋_GB2312"/>
          <w:sz w:val="32"/>
          <w:szCs w:val="32"/>
        </w:rPr>
        <w:t>大力开展植树造林、低产林改造和退化林修复保护、松材线虫病防控和森林资源保护管理，着力提升森林资源质量，挖掘林业碳汇潜能，增强森林固碳能力,提高森林碳汇量。开展林业固碳能力调查监测、温室气体排放林业指标基础统计、森林增长及其固碳增汇能力评估等工作，加快构建林业碳汇计量监测体系，摸清家底，建立林业碳库现状及动态数据库，定期发布计量数据和监测成果。积极谋划林业碳汇项目，结合林业建设重点工程和国有林场森林经营，建立林业碳汇项目储备库，开展林业碳汇项目开发，积极参与国家碳汇市场交易。鼓励与企业合作开发林业碳汇项目，多种方式参与林业碳汇交易。在CCER项目暂停审批的情况下，引导鼓励机关、企事业</w:t>
      </w:r>
      <w:r>
        <w:rPr>
          <w:rFonts w:hint="eastAsia" w:ascii="仿宋_GB2312" w:hAnsi="仿宋_GB2312" w:eastAsia="仿宋_GB2312" w:cs="仿宋_GB2312"/>
          <w:sz w:val="32"/>
          <w:szCs w:val="32"/>
          <w:lang w:val="zh-CN"/>
        </w:rPr>
        <w:t>单位、社会团体以及大中型活动组织方、旅游景区等，通过碳中和来践行社会责任，支持生态建设，弘扬习近平生态文明思想。推动林业碳汇交易平台建设，支持江南林业产权交易所在碳汇交易中发挥作用，协助江南林业产权交易所申请安徽省碳排放权交易资质。</w:t>
      </w:r>
      <w:r>
        <w:rPr>
          <w:rFonts w:hint="eastAsia" w:ascii="仿宋_GB2312" w:hAnsi="仿宋_GB2312" w:eastAsia="仿宋_GB2312" w:cs="仿宋_GB2312"/>
          <w:sz w:val="32"/>
          <w:szCs w:val="32"/>
        </w:rPr>
        <w:t>积极开展林业碳汇基础研究，培养碳汇人才，开发适合黄山市资源特点和优势的普惠方法学，探讨建立减少毁林、森林保护碳汇方法学。全社会积极参与林业碳汇项目开发，通过碳排放权交易和自愿碳中和方式践行社会责任，支持生态建设的局面初步形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7457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7" w:hRule="atLeast"/>
        </w:trPr>
        <w:tc>
          <w:tcPr>
            <w:tcW w:w="8522" w:type="dxa"/>
          </w:tcPr>
          <w:p w14:paraId="74C3186E">
            <w:pPr>
              <w:pageBreakBefore w:val="0"/>
              <w:widowControl/>
              <w:kinsoku/>
              <w:wordWrap/>
              <w:overflowPunct/>
              <w:topLinePunct w:val="0"/>
              <w:autoSpaceDE/>
              <w:autoSpaceDN/>
              <w:bidi w:val="0"/>
              <w:adjustRightInd w:val="0"/>
              <w:snapToGrid w:val="0"/>
              <w:spacing w:line="560" w:lineRule="exact"/>
              <w:ind w:firstLine="562"/>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专栏一 森林质量精准提升工程</w:t>
            </w:r>
          </w:p>
          <w:p w14:paraId="0D47C05A">
            <w:pPr>
              <w:pageBreakBefore w:val="0"/>
              <w:widowControl/>
              <w:kinsoku/>
              <w:wordWrap/>
              <w:overflowPunct/>
              <w:topLinePunct w:val="0"/>
              <w:autoSpaceDE/>
              <w:autoSpaceDN/>
              <w:bidi w:val="0"/>
              <w:adjustRightInd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rPr>
              <w:t>林分质量改造提升。</w:t>
            </w:r>
            <w:r>
              <w:rPr>
                <w:rFonts w:hint="eastAsia" w:ascii="仿宋_GB2312" w:hAnsi="仿宋_GB2312" w:eastAsia="仿宋_GB2312" w:cs="仿宋_GB2312"/>
                <w:sz w:val="28"/>
                <w:szCs w:val="28"/>
                <w:lang w:val="zh-CN"/>
              </w:rPr>
              <w:t>到2025年，全市完成退化林修复15万亩、林分改造面积80万亩，开展20个省级森林抚育示范片建设，林地产出率提高20%以上。</w:t>
            </w:r>
          </w:p>
          <w:p w14:paraId="08900AA8">
            <w:pPr>
              <w:pageBreakBefore w:val="0"/>
              <w:widowControl/>
              <w:kinsoku/>
              <w:wordWrap/>
              <w:overflowPunct/>
              <w:topLinePunct w:val="0"/>
              <w:autoSpaceDE/>
              <w:autoSpaceDN/>
              <w:bidi w:val="0"/>
              <w:adjustRightInd w:val="0"/>
              <w:snapToGrid w:val="0"/>
              <w:spacing w:line="560" w:lineRule="exact"/>
              <w:ind w:left="0" w:leftChars="0" w:firstLine="562"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rPr>
              <w:t>“四旁四边四创”绿化提升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全市完成四旁四边成片造林5000亩，道路、河流绿化30千米；创建省级森林城市1个，森林城镇8个，森林村庄41个。积极开展县级国家森林城市的创建工作，力争完成1-2个县级国家森林城市的创建工作。</w:t>
            </w:r>
          </w:p>
          <w:p w14:paraId="0C74A8C5">
            <w:pPr>
              <w:pageBreakBefore w:val="0"/>
              <w:widowControl/>
              <w:kinsoku/>
              <w:wordWrap/>
              <w:overflowPunct/>
              <w:topLinePunct w:val="0"/>
              <w:autoSpaceDE/>
              <w:autoSpaceDN/>
              <w:bidi w:val="0"/>
              <w:adjustRightInd w:val="0"/>
              <w:snapToGrid w:val="0"/>
              <w:spacing w:line="560" w:lineRule="exact"/>
              <w:ind w:firstLine="48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28"/>
                <w:szCs w:val="28"/>
                <w:lang w:val="zh-CN"/>
              </w:rPr>
              <w:t>碳汇森林行动。</w:t>
            </w:r>
            <w:r>
              <w:rPr>
                <w:rFonts w:hint="eastAsia" w:ascii="仿宋_GB2312" w:hAnsi="仿宋_GB2312" w:eastAsia="仿宋_GB2312" w:cs="仿宋_GB2312"/>
                <w:sz w:val="28"/>
                <w:szCs w:val="28"/>
                <w:lang w:val="zh-CN"/>
              </w:rPr>
              <w:t>到2025年，全市林业碳汇数据库基本建立，森林固碳能力显著提升，森林碳汇量较2020年增长10%以上。林业碳汇项目开发面积达30万亩，开发碳汇减排量15万吨以上。</w:t>
            </w:r>
          </w:p>
        </w:tc>
      </w:tr>
    </w:tbl>
    <w:p w14:paraId="240C2A95">
      <w:pPr>
        <w:pStyle w:val="7"/>
        <w:pageBreakBefore w:val="0"/>
        <w:kinsoku/>
        <w:wordWrap/>
        <w:overflowPunct/>
        <w:topLinePunct w:val="0"/>
        <w:autoSpaceDE/>
        <w:autoSpaceDN/>
        <w:bidi w:val="0"/>
        <w:spacing w:before="0" w:beforeLines="0" w:after="0" w:line="560" w:lineRule="exact"/>
        <w:ind w:firstLine="562"/>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（二）新安江生态廊道建设工程。</w:t>
      </w:r>
    </w:p>
    <w:p w14:paraId="5953A91A">
      <w:pPr>
        <w:pageBreakBefore w:val="0"/>
        <w:widowControl/>
        <w:kinsoku/>
        <w:wordWrap/>
        <w:overflowPunct/>
        <w:topLinePunct w:val="0"/>
        <w:autoSpaceDE/>
        <w:autoSpaceDN/>
        <w:bidi w:val="0"/>
        <w:spacing w:line="560" w:lineRule="exact"/>
        <w:ind w:firstLine="562"/>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建设新安江-千岛湖生态补偿试验区。</w:t>
      </w:r>
      <w:r>
        <w:rPr>
          <w:rFonts w:hint="eastAsia" w:ascii="仿宋_GB2312" w:hAnsi="仿宋_GB2312" w:eastAsia="仿宋_GB2312" w:cs="仿宋_GB2312"/>
          <w:sz w:val="32"/>
          <w:szCs w:val="32"/>
          <w:lang w:val="zh-CN"/>
        </w:rPr>
        <w:t>实施新安江流域生态补偿“十大工程”，加快实施新安江百里大画廊、亚行贷款新安江流域生态保护和绿色发展项目建设，确保新安江流域水质稳定提升，建设新安江生态经济示范区。推动新一轮新安江流域生态补偿机制改革，推动单一补偿指数考核向“水质</w:t>
      </w:r>
      <w:r>
        <w:rPr>
          <w:rFonts w:hint="eastAsia" w:ascii="仿宋_GB2312" w:hAnsi="仿宋_GB2312" w:eastAsia="仿宋_GB2312" w:cs="仿宋_GB2312"/>
          <w:sz w:val="32"/>
          <w:szCs w:val="32"/>
        </w:rPr>
        <w:t>+水量</w:t>
      </w:r>
      <w:r>
        <w:rPr>
          <w:rFonts w:hint="eastAsia" w:ascii="仿宋_GB2312" w:hAnsi="仿宋_GB2312" w:eastAsia="仿宋_GB2312" w:cs="仿宋_GB2312"/>
          <w:sz w:val="32"/>
          <w:szCs w:val="32"/>
          <w:lang w:val="zh-CN"/>
        </w:rPr>
        <w:t>”综合转变，加快实现由单一财政资金补偿向市场化、多元化补偿拓展。推动生态补偿机制由单一的水要素向山水林田湖草全要素转变，推进大气污染协同防治和森林资源保护协同发展，探索建立公益林生态“纵向</w:t>
      </w:r>
      <w:r>
        <w:rPr>
          <w:rFonts w:hint="eastAsia" w:ascii="仿宋_GB2312" w:hAnsi="仿宋_GB2312" w:eastAsia="仿宋_GB2312" w:cs="仿宋_GB2312"/>
          <w:sz w:val="32"/>
          <w:szCs w:val="32"/>
        </w:rPr>
        <w:t>+横向</w:t>
      </w:r>
      <w:r>
        <w:rPr>
          <w:rFonts w:hint="eastAsia" w:ascii="仿宋_GB2312" w:hAnsi="仿宋_GB2312" w:eastAsia="仿宋_GB2312" w:cs="仿宋_GB2312"/>
          <w:sz w:val="32"/>
          <w:szCs w:val="32"/>
          <w:lang w:val="zh-CN"/>
        </w:rPr>
        <w:t>”综合补偿制度，积极推动流域补助标准均等化，加快推进歙县、休宁县国家生态综合补偿试点县建设。与杭州市探索建立生态环境资源全域配置的“环境共治、生态共保、产业共谋、责任共担、利益共享”的生态共同体，在跨流域生态保护、绿色发展、制度创新等方面提供可复制、可推广的经验。打造生态产品价值实现机制新典范，争取实施国家级生态产品价值实现机制试点，制定生态产品目录清单，开展生态产品价值核算，建立自然资源有偿使用制度，畅通生态产品价值实现渠道，打造践行“两山”理论的先行试验地和成果展示地。</w:t>
      </w:r>
    </w:p>
    <w:p w14:paraId="3E5946E8">
      <w:pPr>
        <w:pageBreakBefore w:val="0"/>
        <w:widowControl/>
        <w:kinsoku/>
        <w:wordWrap/>
        <w:overflowPunct/>
        <w:topLinePunct w:val="0"/>
        <w:autoSpaceDE/>
        <w:autoSpaceDN/>
        <w:bidi w:val="0"/>
        <w:spacing w:line="560" w:lineRule="exact"/>
        <w:ind w:firstLine="562"/>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建设新安江百里大画廊林长制改革示范区先行区。</w:t>
      </w:r>
      <w:r>
        <w:rPr>
          <w:rFonts w:hint="eastAsia" w:ascii="仿宋_GB2312" w:hAnsi="仿宋_GB2312" w:eastAsia="仿宋_GB2312" w:cs="仿宋_GB2312"/>
          <w:sz w:val="32"/>
          <w:szCs w:val="32"/>
          <w:lang w:val="zh-CN"/>
        </w:rPr>
        <w:t>一是退耕还林还湿，编制新安江退耕还湿还林规划，对沿江108米水位线以下及低洼处3101亩耕地实施休耕，开展还湿还林，恢复湿地功能。对沿江两岸可视范围内坡耕地及植被覆盖度低的抛荒地开展退耕还林工程建设。二是树种结构调整，全面清理枯死松树，对于林中“天窗”，补植枫香、乌桕、檫木、黄连木、蓝果树等乡土阔叶彩叶大苗。在茶园地头边角，点状或块状栽植梅花、樱花、桃花、银杏、乌桕、枫香等花灌木或彩叶乡土树种大苗，开展复合经营。三是体制机制创新，建立新安江流域多元化生态补偿机制，开展退耕还林市级异地占补平衡，动态调整公益林补偿，并将湿地纳入新安江生态补偿范围。建立融入“杭州都市圈”生态安全保护修复机制，加强联防联控互学互鉴，谋求建立跨界生态建设合作示范区，着力推进区域协同发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7760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8522" w:type="dxa"/>
          </w:tcPr>
          <w:p w14:paraId="728D897A">
            <w:pPr>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专栏二 新安江生态廊道建设工程</w:t>
            </w:r>
          </w:p>
          <w:p w14:paraId="4197788D">
            <w:pPr>
              <w:pageBreakBefore w:val="0"/>
              <w:widowControl/>
              <w:kinsoku/>
              <w:wordWrap/>
              <w:overflowPunct/>
              <w:topLinePunct w:val="0"/>
              <w:autoSpaceDE/>
              <w:autoSpaceDN/>
              <w:bidi w:val="0"/>
              <w:adjustRightInd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建设新安江—千岛湖生态补偿试验区。</w:t>
            </w:r>
            <w:r>
              <w:rPr>
                <w:rFonts w:hint="eastAsia" w:ascii="仿宋_GB2312" w:hAnsi="仿宋_GB2312" w:eastAsia="仿宋_GB2312" w:cs="仿宋_GB2312"/>
                <w:sz w:val="28"/>
                <w:szCs w:val="28"/>
                <w:lang w:val="zh-CN"/>
              </w:rPr>
              <w:t>到2025年，探索上下游建立市场化多元化生态补偿长效机制、水权交易机制和水权转让机制，建立区域水权、排污权、用能权、碳排放权等国家级综合性产权交易中心，为实现2030年碳达峰和2060年碳中和打下坚实的基础。</w:t>
            </w:r>
          </w:p>
          <w:p w14:paraId="0D376D0E">
            <w:pPr>
              <w:pageBreakBefore w:val="0"/>
              <w:widowControl/>
              <w:kinsoku/>
              <w:wordWrap/>
              <w:overflowPunct/>
              <w:topLinePunct w:val="0"/>
              <w:autoSpaceDE/>
              <w:autoSpaceDN/>
              <w:bidi w:val="0"/>
              <w:adjustRightInd w:val="0"/>
              <w:snapToGrid w:val="0"/>
              <w:spacing w:line="560" w:lineRule="exact"/>
              <w:ind w:firstLine="48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28"/>
                <w:szCs w:val="28"/>
                <w:lang w:val="zh-CN"/>
              </w:rPr>
              <w:t>建设新安江百里大画廊林长制改革示范区先行区。</w:t>
            </w:r>
            <w:r>
              <w:rPr>
                <w:rFonts w:hint="eastAsia" w:ascii="仿宋_GB2312" w:hAnsi="仿宋_GB2312" w:eastAsia="仿宋_GB2312" w:cs="仿宋_GB2312"/>
                <w:sz w:val="28"/>
                <w:szCs w:val="28"/>
                <w:lang w:val="zh-CN"/>
              </w:rPr>
              <w:t>“十四五”期间，对沿江6.7万亩马尾松纯林进行改造，完成0.2万亩坡耕地复绿，1.7万亩茶园改造提升，2.9万亩果园（枇杷、柑橘等）提质增效，102株古树名木保护修复，建设森林步道8千米，形成“景色美、结构优、功能强、健康好”的流域森林生态景观。</w:t>
            </w:r>
          </w:p>
        </w:tc>
      </w:tr>
    </w:tbl>
    <w:p w14:paraId="4142C69B">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56" w:name="_Toc3905"/>
      <w:bookmarkStart w:id="157" w:name="_Toc24768"/>
      <w:bookmarkStart w:id="158" w:name="_Toc10726"/>
      <w:bookmarkStart w:id="159" w:name="_Toc7466"/>
      <w:bookmarkStart w:id="160" w:name="_Toc22645"/>
      <w:bookmarkStart w:id="161" w:name="_Toc9959"/>
      <w:bookmarkStart w:id="162" w:name="_Toc8514"/>
      <w:bookmarkStart w:id="163" w:name="_Toc26006"/>
      <w:bookmarkStart w:id="164" w:name="_Toc11624"/>
      <w:r>
        <w:rPr>
          <w:rFonts w:hint="eastAsia" w:ascii="黑体" w:hAnsi="黑体" w:eastAsia="黑体" w:cs="黑体"/>
          <w:b w:val="0"/>
          <w:bCs w:val="0"/>
          <w:sz w:val="32"/>
          <w:szCs w:val="32"/>
        </w:rPr>
        <w:t>三、加强防控体系建设，</w:t>
      </w:r>
      <w:bookmarkEnd w:id="156"/>
      <w:r>
        <w:rPr>
          <w:rFonts w:hint="eastAsia" w:ascii="黑体" w:hAnsi="黑体" w:eastAsia="黑体" w:cs="黑体"/>
          <w:b w:val="0"/>
          <w:bCs w:val="0"/>
          <w:sz w:val="32"/>
          <w:szCs w:val="32"/>
        </w:rPr>
        <w:t>保障森林健康发展</w:t>
      </w:r>
      <w:bookmarkEnd w:id="157"/>
      <w:bookmarkEnd w:id="158"/>
      <w:bookmarkEnd w:id="159"/>
      <w:bookmarkEnd w:id="160"/>
      <w:bookmarkEnd w:id="161"/>
      <w:bookmarkEnd w:id="162"/>
      <w:bookmarkEnd w:id="163"/>
      <w:bookmarkEnd w:id="164"/>
    </w:p>
    <w:p w14:paraId="473C95BD">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把松材线虫病等重大林业有害生物防治工作作为林长制首要任务，严格落实松材线虫病防控责任制和防治条例，健全监测普查、病源清理、检疫执法、联防联治、宣传教育、经费保障等长效机制，开展环黄山风景区松材线虫病“靶向”防控行动，分区分级综合治理、精准防控，打好松材线虫病歼灭战和阻击战，全力保护黄山松安全。</w:t>
      </w:r>
    </w:p>
    <w:p w14:paraId="5C09B366">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全面落实各级林长森林防火责任，区分和厘清森林防火职责，不断健全和完善森林火灾预防体系，大力实施森林防火项目建设，推广应用科技新手段，加强森林防火宣传教育和野外火源管控，实现基础工作信息化、预警响应规范化、队伍建设专业化、火灾扑救科学化，确保不发生重、特大森林火灾和重大人员伤亡事故。围绕环黄山风景区松材线虫病靶向防控和森林防火能力提升两大工程建设，切实保障森林生态系统健康发展，强化生态屏障功能。</w:t>
      </w:r>
    </w:p>
    <w:p w14:paraId="277B2684">
      <w:pPr>
        <w:pStyle w:val="7"/>
        <w:pageBreakBefore w:val="0"/>
        <w:kinsoku/>
        <w:wordWrap/>
        <w:overflowPunct/>
        <w:topLinePunct w:val="0"/>
        <w:autoSpaceDE/>
        <w:autoSpaceDN/>
        <w:bidi w:val="0"/>
        <w:spacing w:before="0" w:beforeLines="0" w:after="0" w:line="560" w:lineRule="exact"/>
        <w:ind w:firstLine="561"/>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（一）环黄山风景区松材线虫病靶向防控工程。</w:t>
      </w:r>
    </w:p>
    <w:p w14:paraId="3BB14003">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以松材线虫病防控示范区建设为抓手，采取五大措施防控松材线虫病，坚决维护黄山市松林和森林资源安全。</w:t>
      </w:r>
    </w:p>
    <w:p w14:paraId="5012E862">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一是坚持“靶向”防控。</w:t>
      </w:r>
      <w:r>
        <w:rPr>
          <w:rFonts w:hint="eastAsia" w:ascii="仿宋_GB2312" w:hAnsi="仿宋_GB2312" w:eastAsia="仿宋_GB2312" w:cs="仿宋_GB2312"/>
          <w:sz w:val="32"/>
          <w:szCs w:val="32"/>
          <w:lang w:val="zh-CN"/>
        </w:rPr>
        <w:t>以迎客松为“靶心”，将黄山风景区及其毗邻的“8镇1场”、其他区域共划为5级防控区。“一级、二级防控区”以保护迎客松等名松古松为核心，“三级、四级防控区”以“及早发现、清除疫源”为中心，“五级防控区”以“联防联控、阻击疫源”为重点。</w:t>
      </w:r>
    </w:p>
    <w:p w14:paraId="01BA7493">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二是坚持严密监测。</w:t>
      </w:r>
      <w:r>
        <w:rPr>
          <w:rFonts w:hint="eastAsia" w:ascii="仿宋_GB2312" w:hAnsi="仿宋_GB2312" w:eastAsia="仿宋_GB2312" w:cs="仿宋_GB2312"/>
          <w:sz w:val="32"/>
          <w:szCs w:val="32"/>
          <w:lang w:val="zh-CN"/>
        </w:rPr>
        <w:t>围绕“早发现”，在人工地面日常监测和专项普查的基础上，运用直升机航拍、卫星遥感、无人机加密巡查监测频次。</w:t>
      </w:r>
    </w:p>
    <w:p w14:paraId="32BEAB85">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三是坚持疫情除治。</w:t>
      </w:r>
      <w:r>
        <w:rPr>
          <w:rFonts w:hint="eastAsia" w:ascii="仿宋_GB2312" w:hAnsi="仿宋_GB2312" w:eastAsia="仿宋_GB2312" w:cs="仿宋_GB2312"/>
          <w:sz w:val="32"/>
          <w:szCs w:val="32"/>
          <w:lang w:val="zh-CN"/>
        </w:rPr>
        <w:t>全面彻底清理死亡松树，着力加大发病小班、重点区域和县区毗邻乡镇的死亡松树清理力度，严格按技术要求就地除害处理，狠抓山场除治质量，确保清理除治及时规范。加强除治全过程监管，坚决杜绝松木流失。实施媒介昆虫药剂防治等防治措施。</w:t>
      </w:r>
    </w:p>
    <w:p w14:paraId="1481BD47">
      <w:pPr>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四是坚持联防联治。</w:t>
      </w:r>
      <w:r>
        <w:rPr>
          <w:rFonts w:hint="eastAsia" w:ascii="仿宋_GB2312" w:hAnsi="仿宋_GB2312" w:eastAsia="仿宋_GB2312" w:cs="仿宋_GB2312"/>
          <w:sz w:val="32"/>
          <w:szCs w:val="32"/>
          <w:lang w:val="zh-CN"/>
        </w:rPr>
        <w:t>全面落实黄山市与宣城市、池州市毗连区域联防联治的工作制度、皖浙赣毗邻区五市松材线虫病防控协议，实行跨行政区域疫情通报、会商、联合防治、联动检查的联防联控工作机制，着力增强防治工作的整体合力，切实有效防范松材线虫病的传播。</w:t>
      </w:r>
    </w:p>
    <w:p w14:paraId="1AC9B56D">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五是坚持超前预防。</w:t>
      </w:r>
      <w:r>
        <w:rPr>
          <w:rFonts w:hint="eastAsia" w:ascii="仿宋_GB2312" w:hAnsi="仿宋_GB2312" w:eastAsia="仿宋_GB2312" w:cs="仿宋_GB2312"/>
          <w:sz w:val="32"/>
          <w:szCs w:val="32"/>
          <w:lang w:val="zh-CN"/>
        </w:rPr>
        <w:t>在重要区位对健康松树实施打孔注药，有序开展低质低效松林、国外松成熟林更新改造，促进松林健康，增强抗疫能力。实施环黄山生物控制带内修复项目，对生物控制带内残留的松树进行地毯式排查清除害。</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3F60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tcPr>
          <w:p w14:paraId="36677C49">
            <w:pPr>
              <w:pageBreakBefore w:val="0"/>
              <w:kinsoku/>
              <w:wordWrap/>
              <w:overflowPunct/>
              <w:topLinePunct w:val="0"/>
              <w:autoSpaceDE/>
              <w:autoSpaceDN/>
              <w:bidi w:val="0"/>
              <w:adjustRightInd w:val="0"/>
              <w:snapToGrid w:val="0"/>
              <w:spacing w:line="560" w:lineRule="exact"/>
              <w:ind w:firstLine="562"/>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专栏三 环黄山风景区松材线虫病靶向防控工程</w:t>
            </w:r>
          </w:p>
          <w:p w14:paraId="420D1FD9">
            <w:pPr>
              <w:pageBreakBefore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zh-CN"/>
              </w:rPr>
              <w:t>“十四五”期间，以确保重点松林景观安全和生态安全为中心目标，力争实现2023年重要生态区无疫情，2025年根除疫情；力争实现2024年环黄山毗邻“8镇1场”无疫情；力争2023年黄山区、徽州区、黟县其他疫情发生点及其他区县发生面积、疫点数量双下降，2024、2025年持续巩固治理成果。</w:t>
            </w:r>
          </w:p>
        </w:tc>
      </w:tr>
    </w:tbl>
    <w:p w14:paraId="7CFFFFBC">
      <w:pPr>
        <w:pStyle w:val="7"/>
        <w:pageBreakBefore w:val="0"/>
        <w:kinsoku/>
        <w:wordWrap/>
        <w:overflowPunct/>
        <w:topLinePunct w:val="0"/>
        <w:autoSpaceDE/>
        <w:autoSpaceDN/>
        <w:bidi w:val="0"/>
        <w:spacing w:before="0" w:beforeLines="0" w:after="0" w:line="560" w:lineRule="exact"/>
        <w:ind w:firstLine="561"/>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（二）森林防火能力提升工程。</w:t>
      </w:r>
    </w:p>
    <w:p w14:paraId="16B3B70F">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黄山市所辖区县均为I级森林火险县（区），森林防火工作任务重、要求高。为促进林长制改革“黄山样板”落实落地，进一步推动全市森林防火工作向更实、更好方向发展，以黄山市创建森林防火改革示范区为契机，通过实施林火监控、指挥中心、专业森林消防队伍、扑火装备、林火阻隔、森林防火宣传、无人机巡查应用、重点保护区域防火等项目建设，使传统防火与科学防火、人力灭火与科技灭火有机结合，实现基础工作信息化、预警响应规范化、队伍建设专业化、火灾扑救科学化。</w:t>
      </w:r>
    </w:p>
    <w:p w14:paraId="43EA58B4">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一是森林防火指挥系统建设。</w:t>
      </w:r>
      <w:r>
        <w:rPr>
          <w:rFonts w:hint="eastAsia" w:ascii="仿宋_GB2312" w:hAnsi="仿宋_GB2312" w:eastAsia="仿宋_GB2312" w:cs="仿宋_GB2312"/>
          <w:sz w:val="32"/>
          <w:szCs w:val="32"/>
          <w:lang w:val="zh-CN"/>
        </w:rPr>
        <w:t>结合林长制信息化平台，采集视频、图像、数据等业务信息，建设包括基础信息管理、火场态势研判、灭火方案制定、实时指挥调度、辅助智能决策等功能的森林防火指挥应用系统，实现辅助决策科学化、指挥调度实时化的全市综合指挥调度中心。</w:t>
      </w:r>
    </w:p>
    <w:p w14:paraId="3AA487D0">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二是林火视频监控系统建设。</w:t>
      </w:r>
      <w:r>
        <w:rPr>
          <w:rFonts w:hint="eastAsia" w:ascii="仿宋_GB2312" w:hAnsi="仿宋_GB2312" w:eastAsia="仿宋_GB2312" w:cs="仿宋_GB2312"/>
          <w:sz w:val="32"/>
          <w:szCs w:val="32"/>
          <w:lang w:val="zh-CN"/>
        </w:rPr>
        <w:t>采用红外探测、热异常、热成像、高清可见光视频、智能烟火识别等技术，充分利用现有卫星、铁塔、电力、网络等公共资源，建设林火视频监控系统，实现森林火情24小时不间断监管、探测和自动火情报警。</w:t>
      </w:r>
    </w:p>
    <w:p w14:paraId="0D78267F">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三是林火阻隔系统建设。</w:t>
      </w:r>
      <w:r>
        <w:rPr>
          <w:rFonts w:hint="eastAsia" w:ascii="仿宋_GB2312" w:hAnsi="仿宋_GB2312" w:eastAsia="仿宋_GB2312" w:cs="仿宋_GB2312"/>
          <w:sz w:val="32"/>
          <w:szCs w:val="32"/>
          <w:lang w:val="zh-CN"/>
        </w:rPr>
        <w:t>林火阻隔系统是防止火灾蔓延，控制重、特大森林火灾发生的重要措施，是森林火灾预防体系的基础工程。到2025年，规划在全市新建生物防火林带150千米。</w:t>
      </w:r>
    </w:p>
    <w:p w14:paraId="443A168E">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四是森林防火水网建设。</w:t>
      </w:r>
      <w:r>
        <w:rPr>
          <w:rFonts w:hint="eastAsia" w:ascii="仿宋_GB2312" w:hAnsi="仿宋_GB2312" w:eastAsia="仿宋_GB2312" w:cs="仿宋_GB2312"/>
          <w:sz w:val="32"/>
          <w:szCs w:val="32"/>
          <w:lang w:val="zh-CN"/>
        </w:rPr>
        <w:t>在全市27个国家级和省级风景名胜区、森林公园、自然保护区、国有林场等重点保护区域，通过在游道、走道两侧铺设森林防火水网、安装消防栓等设备，实现就近取水、就地灭火。</w:t>
      </w:r>
    </w:p>
    <w:p w14:paraId="33C1B522">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五是专业森林消防队伍建设。</w:t>
      </w:r>
      <w:r>
        <w:rPr>
          <w:rFonts w:hint="eastAsia" w:ascii="仿宋_GB2312" w:hAnsi="仿宋_GB2312" w:eastAsia="仿宋_GB2312" w:cs="仿宋_GB2312"/>
          <w:sz w:val="32"/>
          <w:szCs w:val="32"/>
          <w:lang w:val="zh-CN"/>
        </w:rPr>
        <w:t>森林消防队伍是森林防火最基层的战斗实体，是扑救和处置森林火灾的主要力量，是实现森林火灾“打早、打小、打了”的重要保障。全市现建有专业森林消防队伍7支370人，到2025年，全市各区县的专业森林防火队伍配备率100%、人数均达到100人以上，新增风力灭火机80台、油锯80台、森林消防水泵62台、移动蓄水池140个、运兵车16辆、消防水车6辆。</w:t>
      </w:r>
    </w:p>
    <w:p w14:paraId="1349BB27">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六是无人机巡查应用系统建设。</w:t>
      </w:r>
      <w:r>
        <w:rPr>
          <w:rFonts w:hint="eastAsia" w:ascii="仿宋_GB2312" w:hAnsi="仿宋_GB2312" w:eastAsia="仿宋_GB2312" w:cs="仿宋_GB2312"/>
          <w:sz w:val="32"/>
          <w:szCs w:val="32"/>
          <w:lang w:val="zh-CN"/>
        </w:rPr>
        <w:t>着力提升野外火源管理新手段，全面推广“互联网＋防火督查系统”和“森林防火码”，开展森林火灾隐患排查整治专项行动，强化工作督查检查，及时消除火灾隐患。将森林消防无人机接入林长制信息平台，建设无人机巡查应用系统，加强无人机空中巡逻与护林员地面巡护相配合，做到巡山护林全覆盖。</w:t>
      </w:r>
    </w:p>
    <w:p w14:paraId="4FF64212">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七是森林防火宣传教育设施建设。</w:t>
      </w:r>
      <w:r>
        <w:rPr>
          <w:rFonts w:hint="eastAsia" w:ascii="仿宋_GB2312" w:hAnsi="仿宋_GB2312" w:eastAsia="仿宋_GB2312" w:cs="仿宋_GB2312"/>
          <w:sz w:val="32"/>
          <w:szCs w:val="32"/>
          <w:lang w:val="zh-CN"/>
        </w:rPr>
        <w:t>将森林防火宣传教育延伸基层乡镇或林区一线，提升宣传教育效果。到2025年，在全市101个乡镇和10个国有林场建立森林防火宣教展览室，增设林区防火宣传牌1000块、森林防火电子警察240套，其他宣传设备若干。</w:t>
      </w:r>
    </w:p>
    <w:p w14:paraId="699DE945">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八是以创建屯溪区林长制改革示范区先行区为依托。</w:t>
      </w:r>
      <w:r>
        <w:rPr>
          <w:rFonts w:hint="eastAsia" w:ascii="仿宋_GB2312" w:hAnsi="仿宋_GB2312" w:eastAsia="仿宋_GB2312" w:cs="仿宋_GB2312"/>
          <w:sz w:val="32"/>
          <w:szCs w:val="32"/>
          <w:lang w:val="zh-CN"/>
        </w:rPr>
        <w:t>利用屯溪区林业局已建成的森林防火视频监控信息化系统平台，建立完善森林防火宣传、野外用火管理、森林防火工作会商、森林防火值班值守、森林火情早期指挥处置等工作机制，提高森林防火信息化管理水平。</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0DC4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522" w:type="dxa"/>
          </w:tcPr>
          <w:p w14:paraId="39F3728C">
            <w:pPr>
              <w:pageBreakBefore w:val="0"/>
              <w:kinsoku/>
              <w:wordWrap/>
              <w:overflowPunct/>
              <w:topLinePunct w:val="0"/>
              <w:autoSpaceDE/>
              <w:autoSpaceDN/>
              <w:bidi w:val="0"/>
              <w:adjustRightInd w:val="0"/>
              <w:snapToGrid w:val="0"/>
              <w:spacing w:line="560" w:lineRule="exact"/>
              <w:ind w:firstLine="482"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专栏四 森林防火能力提升工程</w:t>
            </w:r>
          </w:p>
          <w:p w14:paraId="5510DBDF">
            <w:pPr>
              <w:pageBreakBefore w:val="0"/>
              <w:kinsoku/>
              <w:wordWrap/>
              <w:overflowPunct/>
              <w:topLinePunct w:val="0"/>
              <w:autoSpaceDE/>
              <w:autoSpaceDN/>
              <w:bidi w:val="0"/>
              <w:adjustRightInd w:val="0"/>
              <w:snapToGrid w:val="0"/>
              <w:spacing w:line="560" w:lineRule="exact"/>
              <w:ind w:firstLine="482"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zh-CN"/>
              </w:rPr>
              <w:t>“十四五”期间，坚决将森林火灾受害率控制在0.</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以内，力争实现黄山风景区连续45年无森林火灾、全市“零火灾”工作目标。建设市级森林防火指挥中心1套、县级森林防火指挥中心7套。在国家级风景名胜区、森林公园、自然保护区、国有林场等重点保护区域，建设林火视频监控系统25套。新建森林防火水网78公里，安装消防栓154个，新建蓄水池370个，购置37台（套）森林灭火装备。购置8架森林防火无人机及附属航控设备。</w:t>
            </w:r>
          </w:p>
        </w:tc>
      </w:tr>
    </w:tbl>
    <w:p w14:paraId="333B3543">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65" w:name="_Toc6782"/>
      <w:bookmarkStart w:id="166" w:name="_Toc4179"/>
      <w:bookmarkStart w:id="167" w:name="_Toc2457"/>
      <w:bookmarkStart w:id="168" w:name="_Toc23289"/>
      <w:bookmarkStart w:id="169" w:name="_Toc21952"/>
      <w:bookmarkStart w:id="170" w:name="_Toc19518"/>
      <w:bookmarkStart w:id="171" w:name="_Toc97"/>
      <w:bookmarkStart w:id="172" w:name="_Toc21367"/>
      <w:bookmarkStart w:id="173" w:name="_Toc6058"/>
      <w:r>
        <w:rPr>
          <w:rFonts w:hint="eastAsia" w:ascii="黑体" w:hAnsi="黑体" w:eastAsia="黑体" w:cs="黑体"/>
          <w:b w:val="0"/>
          <w:bCs w:val="0"/>
          <w:sz w:val="32"/>
          <w:szCs w:val="32"/>
        </w:rPr>
        <w:t>四、严守林业生态红线</w:t>
      </w:r>
      <w:bookmarkEnd w:id="165"/>
      <w:r>
        <w:rPr>
          <w:rFonts w:hint="eastAsia" w:ascii="黑体" w:hAnsi="黑体" w:eastAsia="黑体" w:cs="黑体"/>
          <w:b w:val="0"/>
          <w:bCs w:val="0"/>
          <w:sz w:val="32"/>
          <w:szCs w:val="32"/>
        </w:rPr>
        <w:t>，强化森林资源保护</w:t>
      </w:r>
      <w:bookmarkEnd w:id="166"/>
      <w:bookmarkEnd w:id="167"/>
      <w:bookmarkEnd w:id="168"/>
      <w:bookmarkEnd w:id="169"/>
      <w:bookmarkEnd w:id="170"/>
      <w:bookmarkEnd w:id="171"/>
      <w:bookmarkEnd w:id="172"/>
      <w:bookmarkEnd w:id="173"/>
    </w:p>
    <w:p w14:paraId="7B8C9D4A">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实行最严格的林业生态资源保护管理制度，严守生态保护红线，完善森林资源管理体系，加强依法监管，强化自然保护地、湿地、林地等保护修复，推进林业治理体系和治理能力现代化建设，重点实施自然保护地体系建设和森林资源保护两大工程。</w:t>
      </w:r>
    </w:p>
    <w:p w14:paraId="25B58ABD">
      <w:pPr>
        <w:pStyle w:val="7"/>
        <w:pageBreakBefore w:val="0"/>
        <w:kinsoku/>
        <w:wordWrap/>
        <w:overflowPunct/>
        <w:topLinePunct w:val="0"/>
        <w:autoSpaceDE/>
        <w:autoSpaceDN/>
        <w:bidi w:val="0"/>
        <w:spacing w:before="0" w:beforeLines="0" w:after="0" w:line="560" w:lineRule="exact"/>
        <w:ind w:firstLine="562"/>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（一）自然保护地体系建设工程。</w:t>
      </w:r>
    </w:p>
    <w:p w14:paraId="702BAC2C">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自然保护地体系建设。加强对全市自然保护地管理，健全管理职能，提升自然保护地监管水平。建立健全自然保护地管理机构，初步建立以各自然保护区为基础，各类自然公园为补充的自然保护地体系。</w:t>
      </w:r>
    </w:p>
    <w:p w14:paraId="7E3E46E1">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自然保护地生态修复。自然保护地建设主要以自然恢复为主，辅以必要的人工措施，分区分类开展受损自然生态系统修复；建设生态廊道、开展重要栖息地恢复和废弃地修复；加强野外保护站点、巡护路网、监测监控、应急救灾、森林防火、林业有害生物防治和疫源疫病等保护管理设施建设，利用高科技手段和现代化设备促进自然保育、巡护和监测的信息化、智能化；配置管理队伍的技术装备，逐步实现规范化和标准化。</w:t>
      </w:r>
    </w:p>
    <w:p w14:paraId="1A1E3EC7">
      <w:pPr>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三是</w:t>
      </w:r>
      <w:r>
        <w:rPr>
          <w:rFonts w:hint="eastAsia" w:ascii="仿宋_GB2312" w:hAnsi="仿宋_GB2312" w:eastAsia="仿宋_GB2312" w:cs="仿宋_GB2312"/>
          <w:sz w:val="32"/>
          <w:szCs w:val="32"/>
          <w:lang w:val="zh-CN"/>
        </w:rPr>
        <w:t xml:space="preserve">自然保护地整合优化。摸底全市自然保护地现状，全面整合优化自然保护地。按照“多规合一”、“划管结合”的总体思路，依据国家统筹划定生态保护红线、永久基本农田、城镇开发边界三条控制线有关要求，结合共享各地国土空间规划编制成果，对现有自然保护地划定情况进行评估，重点识别存在的矛盾冲突，科学界定自然保护地范围，明确调整规划，有针对性的提出整合优化方案，确保自然保护地划定成果权威、科学、符合实际可执行，确保重要生态系统、自然景观和生物多样性得到有效保护，筑牢黄山国家生态安全屏障。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6BBA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tcPr>
          <w:p w14:paraId="13AC6EB5">
            <w:pPr>
              <w:pageBreakBefore w:val="0"/>
              <w:widowControl/>
              <w:kinsoku/>
              <w:wordWrap/>
              <w:overflowPunct/>
              <w:topLinePunct w:val="0"/>
              <w:autoSpaceDE/>
              <w:autoSpaceDN/>
              <w:bidi w:val="0"/>
              <w:adjustRightInd w:val="0"/>
              <w:snapToGrid w:val="0"/>
              <w:spacing w:line="560" w:lineRule="exact"/>
              <w:ind w:firstLine="482"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专栏五 自然保护地体系建设工程</w:t>
            </w:r>
          </w:p>
          <w:p w14:paraId="62879B89">
            <w:pPr>
              <w:pageBreakBefore w:val="0"/>
              <w:widowControl/>
              <w:kinsoku/>
              <w:wordWrap/>
              <w:overflowPunct/>
              <w:topLinePunct w:val="0"/>
              <w:autoSpaceDE/>
              <w:autoSpaceDN/>
              <w:bidi w:val="0"/>
              <w:adjustRightInd w:val="0"/>
              <w:snapToGrid w:val="0"/>
              <w:spacing w:line="560" w:lineRule="exact"/>
              <w:ind w:firstLine="482"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zh-CN"/>
              </w:rPr>
              <w:t>“十四五”期间，加快完善自然保护地体系，完成现有自然保护地划定情况评估，编制自然保护地整合优化方案和完成勘界立标工作，积极推动自然保护地规划编制，增强保护工作的科学性、针对性和可操作性。</w:t>
            </w:r>
          </w:p>
        </w:tc>
      </w:tr>
    </w:tbl>
    <w:p w14:paraId="3CDEF134">
      <w:pPr>
        <w:pStyle w:val="7"/>
        <w:pageBreakBefore w:val="0"/>
        <w:widowControl w:val="0"/>
        <w:kinsoku/>
        <w:wordWrap/>
        <w:overflowPunct/>
        <w:topLinePunct w:val="0"/>
        <w:autoSpaceDE/>
        <w:autoSpaceDN/>
        <w:bidi w:val="0"/>
        <w:adjustRightInd/>
        <w:snapToGrid/>
        <w:spacing w:before="0" w:beforeLines="0" w:after="0" w:line="560" w:lineRule="exact"/>
        <w:ind w:firstLine="561"/>
        <w:textAlignment w:val="auto"/>
        <w:rPr>
          <w:rFonts w:hint="eastAsia" w:ascii="楷体_GB2312" w:eastAsia="楷体_GB2312" w:cs="楷体_GB2312" w:hAnsiTheme="minorHAnsi"/>
          <w:b/>
          <w:bCs/>
          <w:kern w:val="2"/>
          <w:sz w:val="32"/>
          <w:szCs w:val="32"/>
          <w:shd w:val="clear" w:color="auto" w:fill="FFFFFF"/>
          <w:lang w:val="en-US" w:eastAsia="zh-CN" w:bidi="ar-SA"/>
        </w:rPr>
      </w:pPr>
      <w:r>
        <w:rPr>
          <w:rFonts w:hint="eastAsia" w:ascii="楷体_GB2312" w:eastAsia="楷体_GB2312" w:cs="楷体_GB2312" w:hAnsiTheme="minorHAnsi"/>
          <w:b/>
          <w:bCs/>
          <w:kern w:val="2"/>
          <w:sz w:val="32"/>
          <w:szCs w:val="32"/>
          <w:shd w:val="clear" w:color="auto" w:fill="FFFFFF"/>
          <w:lang w:val="en-US" w:eastAsia="zh-CN" w:bidi="ar-SA"/>
        </w:rPr>
        <w:t>（二）森林资源保护工程。</w:t>
      </w:r>
    </w:p>
    <w:p w14:paraId="204BE2DB">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林地保护。</w:t>
      </w:r>
      <w:r>
        <w:rPr>
          <w:rFonts w:hint="eastAsia" w:ascii="仿宋_GB2312" w:hAnsi="仿宋_GB2312" w:eastAsia="仿宋_GB2312" w:cs="仿宋_GB2312"/>
          <w:sz w:val="32"/>
          <w:szCs w:val="32"/>
          <w:lang w:val="zh-CN"/>
        </w:rPr>
        <w:t>加强林地保护管理，积极开展新一轮林地保护利用规划编制工作。进一步确定林地保护红线，根据最新确定范围完善黄山市森林资源管理“一张图”数据库，并进行年度更新。严格依据林地保护利用规划使用林地，控制用地规模，坚守林地红线。切实加强林地占用征收定额管理，落实占用征收林地定额管理制度，严格保护、节约集约使用林地，严格控制林地转为建设用地。以严格保护为前提，确保林地规模适度增长，多途径增加林地资源，确保全市林地资源动态平衡。</w:t>
      </w:r>
    </w:p>
    <w:p w14:paraId="3CE3F272">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林木采伐管理。</w:t>
      </w:r>
      <w:r>
        <w:rPr>
          <w:rFonts w:hint="eastAsia" w:ascii="仿宋_GB2312" w:hAnsi="仿宋_GB2312" w:eastAsia="仿宋_GB2312" w:cs="仿宋_GB2312"/>
          <w:sz w:val="32"/>
          <w:szCs w:val="32"/>
          <w:lang w:val="zh-CN"/>
        </w:rPr>
        <w:t>严格执行森林采伐限额与凭证采伐制度。在采伐成片人工商业林时要以采伐规范为依据，做好调查和设计工作。在采伐过程中需要全面监督和管理，采后需要由专门的人员进行验收。加强林地管理，严格控制林地向非林地逆转。</w:t>
      </w:r>
    </w:p>
    <w:p w14:paraId="46601E89">
      <w:pPr>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kern w:val="0"/>
          <w:sz w:val="32"/>
          <w:szCs w:val="32"/>
        </w:rPr>
      </w:pPr>
      <w:r>
        <w:rPr>
          <w:rFonts w:hint="eastAsia" w:ascii="楷体_GB2312" w:eastAsia="楷体_GB2312" w:cs="楷体_GB2312" w:hAnsiTheme="minorHAnsi"/>
          <w:b/>
          <w:bCs/>
          <w:kern w:val="2"/>
          <w:sz w:val="32"/>
          <w:szCs w:val="32"/>
          <w:shd w:val="clear" w:color="auto" w:fill="FFFFFF"/>
          <w:lang w:val="zh-CN" w:eastAsia="zh-CN" w:bidi="ar-SA"/>
        </w:rPr>
        <w:t>生态公益林保护。</w:t>
      </w:r>
      <w:r>
        <w:rPr>
          <w:rFonts w:hint="eastAsia" w:ascii="仿宋_GB2312" w:hAnsi="仿宋_GB2312" w:eastAsia="仿宋_GB2312" w:cs="仿宋_GB2312"/>
          <w:sz w:val="32"/>
          <w:szCs w:val="32"/>
          <w:lang w:val="zh-CN"/>
        </w:rPr>
        <w:t>按时足额发放535万亩公益林森林生态效益补偿资金8000多万元给林农和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zh-CN"/>
        </w:rPr>
        <w:t>单位，使公益林所有者得到实惠，自觉保护公益林。加强公益林资源的保护、监测，重点保护水源涵养林区域公益林、自然保护地区域公益林、风景区范围内公益林，严禁乱砍滥伐。加强公益林松材线虫病和松毛虫等病虫防治工作，加强公益林防火工作。实行统一保险，将535万亩国家和省级公益林全部投保，理赔范围为人力无法抗拒的自然灾害，包括火灾、霜冻、病虫害等，造成林木流失、掩埋、主干折断、倒伏或者死亡。</w:t>
      </w:r>
    </w:p>
    <w:p w14:paraId="249BB627">
      <w:pPr>
        <w:pageBreakBefore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天然林保护修复。</w:t>
      </w:r>
      <w:r>
        <w:rPr>
          <w:rFonts w:hint="eastAsia" w:ascii="仿宋_GB2312" w:hAnsi="仿宋_GB2312" w:eastAsia="仿宋_GB2312" w:cs="仿宋_GB2312"/>
          <w:sz w:val="32"/>
          <w:szCs w:val="32"/>
          <w:lang w:val="zh-CN"/>
        </w:rPr>
        <w:t>严格执行天然林保护政策，将全市398万亩天然林全部纳入保护范围，全面停止天然林商业性采伐。依据生态保护红线以及生态区位重要性、自然恢复能力、生态脆弱性、物种珍稀性等指标，确定天然林保护重点区域，分区施策，分别采取封禁管理，自然恢复为主、人工促进为辅或其他复合生态修复措施。对纳入保护重点区域的天然林，除森林病虫害防治、森林防火等维护天然林生态系统健康的必要措施外，禁止其他一切生产经营活动。开展天然林抚育作业的，必须编制作业设计，经林业主管部门审查批准后实施。依托国家储备林基地建设，培育大径材和珍贵树种，维护国家木材安全。</w:t>
      </w:r>
    </w:p>
    <w:p w14:paraId="19600619">
      <w:pPr>
        <w:pageBreakBefore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湿地保护修复。</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湿地分级保护管理体系建设完善。对黄山市辖区内所有湿地进行可持续管理布局，建设完善以重要湿地、湿地自然保护区、湿地公园、湿地保护小区、小微湿地等不同层次的湿地保护管理体系，在维护湿地生态功能的前提下，实行保护与可持续利用相统一的管理措施。</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加强湿地的保护与修复。坚持自然恢复为主与人工修复相结合的方式，采取退田还湿、移民搬迁、植被恢复等措施，重建或者修复已退化的湿地生态系统，恢复湿地生态功能。重点在太平湖国家湿地公园、休宁横江国家湿地公园、屯溪省级三江湿地公园、歙县新安江干流湿地、祁门倒湖湿地等开展针对性的保护修复，稳定湿地生态功能，确保珍稀野生动植物的栖息（原生）地质量不下降、种类数量不减少、种群规模不缩减。</w:t>
      </w:r>
      <w:r>
        <w:rPr>
          <w:rFonts w:hint="eastAsia" w:ascii="仿宋_GB2312" w:hAnsi="仿宋_GB2312" w:eastAsia="仿宋_GB2312" w:cs="仿宋_GB2312"/>
          <w:b/>
          <w:bCs/>
          <w:sz w:val="32"/>
          <w:szCs w:val="32"/>
          <w:lang w:val="zh-CN"/>
        </w:rPr>
        <w:t>三是</w:t>
      </w:r>
      <w:r>
        <w:rPr>
          <w:rFonts w:hint="eastAsia" w:ascii="仿宋_GB2312" w:hAnsi="仿宋_GB2312" w:eastAsia="仿宋_GB2312" w:cs="仿宋_GB2312"/>
          <w:sz w:val="32"/>
          <w:szCs w:val="32"/>
          <w:lang w:val="zh-CN"/>
        </w:rPr>
        <w:t>湿地可持续利用示范建设。主要包括湿地生态种养示范、湿地生态旅游发展示范、稻田高效可持续利用与循环经济利用示范、湿地公园科普宣教基地、湿地教学研基地建设等方面。</w:t>
      </w:r>
    </w:p>
    <w:p w14:paraId="334BC19F">
      <w:pPr>
        <w:pageBreakBefore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古树名木保护。</w:t>
      </w:r>
      <w:r>
        <w:rPr>
          <w:rFonts w:hint="eastAsia" w:ascii="仿宋_GB2312" w:hAnsi="仿宋_GB2312" w:eastAsia="仿宋_GB2312" w:cs="仿宋_GB2312"/>
          <w:sz w:val="32"/>
          <w:szCs w:val="32"/>
          <w:lang w:val="zh-CN"/>
        </w:rPr>
        <w:t>积极推动古树名木改革示范区创建，全面加强全市古树名木资源保护管理。加强对全市古树名木资源总量、种类、分布、生长状况等情况的动态管理，及时掌握资源变化情况，严格按照国家有关技术标准、质量规范，建立详备完整的古树名木资源档案，建成全市统一的古树名木资源数据库，初步实现古树名木网络化管理，为全市古树名木的保护和精细管理提供支撑。全面推行建立古树名木保护“树长制”，落实“一树一批人”管护，建立“一树一档”保护档案，建成责任明确、监管有力、责任到人的古树名木保护体系。规范设置“树长制”公示牌，公开标明树长职责，接受社会各方面监督。按照分级分类保护原则，因地制宜，因树施策，普遍保护与重点保护相结合，重点加强名木、一级古树，景区景点及交通路口等重要节点古树，村口和水口古树群及其自然生境保护。</w:t>
      </w:r>
    </w:p>
    <w:p w14:paraId="1102FC85">
      <w:pPr>
        <w:pageBreakBefore w:val="0"/>
        <w:kinsoku/>
        <w:wordWrap/>
        <w:overflowPunct/>
        <w:topLinePunct w:val="0"/>
        <w:autoSpaceDE/>
        <w:autoSpaceDN/>
        <w:bidi w:val="0"/>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野生动植物保护。</w:t>
      </w:r>
      <w:r>
        <w:rPr>
          <w:rFonts w:hint="eastAsia" w:ascii="仿宋_GB2312" w:hAnsi="仿宋_GB2312" w:eastAsia="仿宋_GB2312" w:cs="仿宋_GB2312"/>
          <w:sz w:val="32"/>
          <w:szCs w:val="32"/>
          <w:lang w:val="zh-CN"/>
        </w:rPr>
        <w:t>加强野生动植物保护管理，严格贯彻落实全国人民代表大会常务委员会《关于全面禁止非法野生动物交易、革除滥食野生动物陋习、切实保障人民群众生命健康安全的决定》。全面禁止和惩治非法野生动物交易，坚决革除滥食野生动物陋习。加强野生动物保护各环节日常监管，坚决打击非法野生动物交易行为。加强自然保护区和森林公园能力建设，发挥皖南野生动物救护中心功能，加大野生动植物种群和栖息地保护，维护生物多样性。对全市植物、兽类、鸟类、鱼类、两栖爬行、外来物种进行普查，分析并整理形成数据库，汇总形成生物（物种）资源普查报告。建立黄山市陆生野生动物疫源疫病监测防控体系，严密监测野生动物栖息地、迁徙地、种群、数量、个体病死等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6CFD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522" w:type="dxa"/>
          </w:tcPr>
          <w:p w14:paraId="3DCEDC18">
            <w:pPr>
              <w:pageBreakBefore w:val="0"/>
              <w:kinsoku/>
              <w:wordWrap/>
              <w:overflowPunct/>
              <w:topLinePunct w:val="0"/>
              <w:autoSpaceDE/>
              <w:autoSpaceDN/>
              <w:bidi w:val="0"/>
              <w:snapToGrid w:val="0"/>
              <w:spacing w:line="560" w:lineRule="exact"/>
              <w:ind w:firstLine="562"/>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专栏六 森林资源保护工程</w:t>
            </w:r>
          </w:p>
          <w:p w14:paraId="7D979E8D">
            <w:pPr>
              <w:pageBreakBefore w:val="0"/>
              <w:kinsoku/>
              <w:wordWrap/>
              <w:overflowPunct/>
              <w:topLinePunct w:val="0"/>
              <w:autoSpaceDE/>
              <w:autoSpaceDN/>
              <w:bidi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林地保护。</w:t>
            </w:r>
            <w:r>
              <w:rPr>
                <w:rFonts w:hint="eastAsia" w:ascii="仿宋_GB2312" w:hAnsi="仿宋_GB2312" w:eastAsia="仿宋_GB2312" w:cs="仿宋_GB2312"/>
                <w:sz w:val="28"/>
                <w:szCs w:val="28"/>
                <w:lang w:val="zh-CN"/>
              </w:rPr>
              <w:t>“十四五”期间，完成林地保护利用规划编制。</w:t>
            </w:r>
          </w:p>
          <w:p w14:paraId="1F96B4C6">
            <w:pPr>
              <w:pageBreakBefore w:val="0"/>
              <w:kinsoku/>
              <w:wordWrap/>
              <w:overflowPunct/>
              <w:topLinePunct w:val="0"/>
              <w:autoSpaceDE/>
              <w:autoSpaceDN/>
              <w:bidi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林木采伐管理。</w:t>
            </w:r>
            <w:r>
              <w:rPr>
                <w:rFonts w:hint="eastAsia" w:ascii="仿宋_GB2312" w:hAnsi="仿宋_GB2312" w:eastAsia="仿宋_GB2312" w:cs="仿宋_GB2312"/>
                <w:sz w:val="28"/>
                <w:szCs w:val="28"/>
                <w:lang w:val="zh-CN"/>
              </w:rPr>
              <w:t>严格执行林木采伐限额管理，做好“十四五”采伐限额编制工作。</w:t>
            </w:r>
          </w:p>
          <w:p w14:paraId="6230D0CE">
            <w:pPr>
              <w:pageBreakBefore w:val="0"/>
              <w:kinsoku/>
              <w:wordWrap/>
              <w:overflowPunct/>
              <w:topLinePunct w:val="0"/>
              <w:autoSpaceDE/>
              <w:autoSpaceDN/>
              <w:bidi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生态公益林保护。</w:t>
            </w:r>
            <w:r>
              <w:rPr>
                <w:rFonts w:hint="eastAsia" w:ascii="仿宋_GB2312" w:hAnsi="仿宋_GB2312" w:eastAsia="仿宋_GB2312" w:cs="仿宋_GB2312"/>
                <w:sz w:val="28"/>
                <w:szCs w:val="28"/>
                <w:lang w:val="zh-CN"/>
              </w:rPr>
              <w:t>“十四五”期间，通过封山育林自然演替、人工促进的办法，逐步使全市国家、省级公益林的林分郁闭度达到0.7以上，维护黄山市生态安全。</w:t>
            </w:r>
          </w:p>
          <w:p w14:paraId="79B62BFB">
            <w:pPr>
              <w:pageBreakBefore w:val="0"/>
              <w:kinsoku/>
              <w:wordWrap/>
              <w:overflowPunct/>
              <w:topLinePunct w:val="0"/>
              <w:autoSpaceDE/>
              <w:autoSpaceDN/>
              <w:bidi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天然林保护修复。</w:t>
            </w:r>
            <w:r>
              <w:rPr>
                <w:rFonts w:hint="eastAsia" w:ascii="仿宋_GB2312" w:hAnsi="仿宋_GB2312" w:eastAsia="仿宋_GB2312" w:cs="仿宋_GB2312"/>
                <w:sz w:val="28"/>
                <w:szCs w:val="28"/>
                <w:lang w:val="zh-CN"/>
              </w:rPr>
              <w:t>“十四五”期间，完成全市天然林保护修复规划编制工作。</w:t>
            </w:r>
          </w:p>
          <w:p w14:paraId="2ABE9FCA">
            <w:pPr>
              <w:pageBreakBefore w:val="0"/>
              <w:kinsoku/>
              <w:wordWrap/>
              <w:overflowPunct/>
              <w:topLinePunct w:val="0"/>
              <w:autoSpaceDE/>
              <w:autoSpaceDN/>
              <w:bidi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湿地保护修复。</w:t>
            </w:r>
            <w:r>
              <w:rPr>
                <w:rFonts w:hint="eastAsia" w:ascii="仿宋_GB2312" w:hAnsi="仿宋_GB2312" w:eastAsia="仿宋_GB2312" w:cs="仿宋_GB2312"/>
                <w:sz w:val="28"/>
                <w:szCs w:val="28"/>
                <w:lang w:val="zh-CN"/>
              </w:rPr>
              <w:t>力争到2025年，全面提高黄山市湿地保护、管理和合理利用能力，使全市湿地保护率达到70%。</w:t>
            </w:r>
          </w:p>
          <w:p w14:paraId="4F70E368">
            <w:pPr>
              <w:pageBreakBefore w:val="0"/>
              <w:kinsoku/>
              <w:wordWrap/>
              <w:overflowPunct/>
              <w:topLinePunct w:val="0"/>
              <w:autoSpaceDE/>
              <w:autoSpaceDN/>
              <w:bidi w:val="0"/>
              <w:snapToGrid w:val="0"/>
              <w:spacing w:line="560" w:lineRule="exact"/>
              <w:ind w:firstLine="482"/>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古树名木保护。</w:t>
            </w:r>
            <w:r>
              <w:rPr>
                <w:rFonts w:hint="eastAsia" w:ascii="仿宋_GB2312" w:hAnsi="仿宋_GB2312" w:eastAsia="仿宋_GB2312" w:cs="仿宋_GB2312"/>
                <w:sz w:val="28"/>
                <w:szCs w:val="28"/>
                <w:lang w:val="zh-CN"/>
              </w:rPr>
              <w:t>到2025年，全面保护全市10458株古树名木，重点修复和保护600株古树名木，建设古树名木保护示范树100株、示范古树群20个、古树群主题公园10个。</w:t>
            </w:r>
          </w:p>
          <w:p w14:paraId="74F5283C">
            <w:pPr>
              <w:pageBreakBefore w:val="0"/>
              <w:kinsoku/>
              <w:wordWrap/>
              <w:overflowPunct/>
              <w:topLinePunct w:val="0"/>
              <w:autoSpaceDE/>
              <w:autoSpaceDN/>
              <w:bidi w:val="0"/>
              <w:snapToGrid w:val="0"/>
              <w:spacing w:line="560" w:lineRule="exact"/>
              <w:ind w:firstLine="48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lang w:val="zh-CN"/>
              </w:rPr>
              <w:t>野生动植物保护。</w:t>
            </w:r>
            <w:r>
              <w:rPr>
                <w:rFonts w:hint="eastAsia" w:ascii="仿宋_GB2312" w:hAnsi="仿宋_GB2312" w:eastAsia="仿宋_GB2312" w:cs="仿宋_GB2312"/>
                <w:sz w:val="28"/>
                <w:szCs w:val="28"/>
                <w:lang w:val="zh-CN"/>
              </w:rPr>
              <w:t>“十四五”期间，使全市国家重点保护野生动植物种保护率达96%。</w:t>
            </w:r>
          </w:p>
        </w:tc>
      </w:tr>
    </w:tbl>
    <w:p w14:paraId="6DDD135E">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74" w:name="_Toc16000"/>
      <w:bookmarkStart w:id="175" w:name="_Toc11947"/>
      <w:bookmarkStart w:id="176" w:name="_Toc32344"/>
      <w:bookmarkStart w:id="177" w:name="_Toc1833"/>
      <w:bookmarkStart w:id="178" w:name="_Toc4662"/>
      <w:bookmarkStart w:id="179" w:name="_Toc7583"/>
      <w:bookmarkStart w:id="180" w:name="_Toc6091"/>
      <w:bookmarkStart w:id="181" w:name="_Toc31049"/>
      <w:bookmarkStart w:id="182" w:name="_Toc7503"/>
      <w:r>
        <w:rPr>
          <w:rFonts w:hint="eastAsia" w:ascii="黑体" w:hAnsi="黑体" w:eastAsia="黑体" w:cs="黑体"/>
          <w:b w:val="0"/>
          <w:bCs w:val="0"/>
          <w:sz w:val="32"/>
          <w:szCs w:val="32"/>
        </w:rPr>
        <w:t>五、发展绿色富民产业，构建林业产业体系</w:t>
      </w:r>
      <w:bookmarkEnd w:id="174"/>
      <w:bookmarkEnd w:id="175"/>
      <w:bookmarkEnd w:id="176"/>
      <w:bookmarkEnd w:id="177"/>
      <w:bookmarkEnd w:id="178"/>
      <w:bookmarkEnd w:id="179"/>
      <w:bookmarkEnd w:id="180"/>
      <w:bookmarkEnd w:id="181"/>
      <w:bookmarkEnd w:id="182"/>
    </w:p>
    <w:p w14:paraId="41F5BDB5">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落实国家营造林政策,加快低产林改造步伐，大力发展特色经果林、木本油料、竹产业等特色产业。有机对接乡村振兴战略，进一步健全新型林业经营主体与林农的利益联结机制，不断巩固提升脱贫攻坚成果。</w:t>
      </w:r>
      <w:r>
        <w:rPr>
          <w:rFonts w:hint="eastAsia" w:ascii="仿宋_GB2312" w:hAnsi="仿宋_GB2312" w:eastAsia="仿宋_GB2312" w:cs="仿宋_GB2312"/>
          <w:color w:val="000000"/>
          <w:sz w:val="32"/>
          <w:szCs w:val="32"/>
          <w:lang w:val="zh-CN"/>
        </w:rPr>
        <w:t>围绕木竹精深加工、森林旅游、油茶产业、林果加工、苗木花卉、食用菌生产、中药材种植和林下经济等重点领域，积极引进更多效益增长型、低碳环保型的招商项目</w:t>
      </w:r>
      <w:r>
        <w:rPr>
          <w:rFonts w:hint="eastAsia" w:ascii="仿宋_GB2312" w:hAnsi="仿宋_GB2312" w:eastAsia="仿宋_GB2312" w:cs="仿宋_GB2312"/>
          <w:sz w:val="32"/>
          <w:szCs w:val="32"/>
          <w:lang w:val="zh-CN"/>
        </w:rPr>
        <w:t>。推进林业产业创新和企业创新，将生态保护和生态利用融入到林业产业发展全过程，实现林业产业一二三融合发展。实施绿色富民产业工程，到2025</w:t>
      </w:r>
      <w:r>
        <w:rPr>
          <w:rFonts w:hint="eastAsia" w:ascii="仿宋_GB2312" w:hAnsi="仿宋_GB2312" w:eastAsia="仿宋_GB2312" w:cs="仿宋_GB2312"/>
          <w:sz w:val="32"/>
          <w:szCs w:val="32"/>
        </w:rPr>
        <w:t>年，使全市林业产值达到</w:t>
      </w:r>
      <w:r>
        <w:rPr>
          <w:rFonts w:hint="eastAsia" w:ascii="仿宋_GB2312" w:hAnsi="仿宋_GB2312" w:eastAsia="仿宋_GB2312" w:cs="仿宋_GB2312"/>
          <w:sz w:val="32"/>
          <w:szCs w:val="32"/>
          <w:lang w:val="zh-CN"/>
        </w:rPr>
        <w:t>500</w:t>
      </w:r>
      <w:r>
        <w:rPr>
          <w:rFonts w:hint="eastAsia" w:ascii="仿宋_GB2312" w:hAnsi="仿宋_GB2312" w:eastAsia="仿宋_GB2312" w:cs="仿宋_GB2312"/>
          <w:sz w:val="32"/>
          <w:szCs w:val="32"/>
        </w:rPr>
        <w:t>亿元。</w:t>
      </w:r>
    </w:p>
    <w:p w14:paraId="1807A035">
      <w:pPr>
        <w:pageBreakBefore w:val="0"/>
        <w:kinsoku/>
        <w:wordWrap/>
        <w:overflowPunct/>
        <w:topLinePunct w:val="0"/>
        <w:autoSpaceDE/>
        <w:autoSpaceDN/>
        <w:bidi w:val="0"/>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（一）木本油料产业。</w:t>
      </w:r>
      <w:r>
        <w:rPr>
          <w:rFonts w:hint="eastAsia" w:ascii="仿宋_GB2312" w:hAnsi="仿宋_GB2312" w:eastAsia="仿宋_GB2312" w:cs="仿宋_GB2312"/>
          <w:sz w:val="32"/>
          <w:szCs w:val="32"/>
          <w:lang w:val="zh-CN"/>
        </w:rPr>
        <w:t>因地制宜，突出本地特色和优势产业，大力发展油茶、香榧等木本油料林。积极引导鼓励大户依法流转林地，并通过低产低效林改造、低产茶园改造、枯死松树山场清理、公益林林下栽植、荒山荒地造林等优先发展香榧、油茶木本油料林示范基地。加快木本油料产业化经营，积极培育一批木本食用油龙头企业，开展精深加工和副产品开发，延长产业链条，提升综合效益。培育新型林业经营主体，推进适度规模经营，推行“公司（专业合作社）＋农户＋基地”等产业化经营模式，促进木本油料产业向基地化、标准化和集约化方面发展。</w:t>
      </w:r>
    </w:p>
    <w:p w14:paraId="3FD19DA0">
      <w:pPr>
        <w:pageBreakBefore w:val="0"/>
        <w:kinsoku/>
        <w:wordWrap/>
        <w:overflowPunct/>
        <w:topLinePunct w:val="0"/>
        <w:autoSpaceDE/>
        <w:autoSpaceDN/>
        <w:bidi w:val="0"/>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（二）特色经济林。</w:t>
      </w:r>
      <w:r>
        <w:rPr>
          <w:rFonts w:hint="eastAsia" w:ascii="仿宋_GB2312" w:hAnsi="仿宋_GB2312" w:eastAsia="仿宋_GB2312" w:cs="仿宋_GB2312"/>
          <w:sz w:val="32"/>
          <w:szCs w:val="32"/>
          <w:lang w:val="zh-CN"/>
        </w:rPr>
        <w:t>全市经济林面积发展到148.5万亩，高度重视经济林产业发展，通过加强宣传引导、狠抓基地建设、加大技术培训、强化政策扶持，经济林培育和加工业发展步伐明显加快。积极发展覆盆子、枇杷、厚朴等特色经济林。加强油茶、香榧、山核桃等特色经济林标准化生产基地建设，积极探索“小产区”发展模式，加大对龙头企业、专业合作社、种植大户等开展食用林产品“三品一标”认证和品牌创建的扶持力度，不断扩大“巧明香榧”、“黄山茶油”、“歙县山核桃”等特色林产品市场影响力和美誉度。</w:t>
      </w:r>
    </w:p>
    <w:p w14:paraId="3DBA5E5A">
      <w:pPr>
        <w:pageBreakBefore w:val="0"/>
        <w:kinsoku/>
        <w:wordWrap/>
        <w:overflowPunct/>
        <w:topLinePunct w:val="0"/>
        <w:autoSpaceDE/>
        <w:autoSpaceDN/>
        <w:bidi w:val="0"/>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（三）竹产业。</w:t>
      </w:r>
      <w:r>
        <w:rPr>
          <w:rFonts w:hint="eastAsia" w:ascii="仿宋_GB2312" w:hAnsi="仿宋_GB2312" w:eastAsia="仿宋_GB2312" w:cs="仿宋_GB2312"/>
          <w:sz w:val="32"/>
          <w:szCs w:val="32"/>
          <w:lang w:val="zh-CN"/>
        </w:rPr>
        <w:t>全市现有竹林面积115万亩，资源非常丰富。加大对竹产业扶持力度，因地制宜开展低产竹林更新改造，学习浙江、福建等省市竹林丰产技术和先进经验，鼓励引导林农开展竹林垦复，加强抚育管护，大力提升竹林整体质量。强化培育龙头企业，提升规模化生产水平，引导和鼓励企业按“企业+基地+农户”经营模式建立竹林基地。以精、深、细加工为主线，大力扶持龙头企业发展，引导企业进行技术更新和设备改造，鼓励扶持龙头企业实行规模化生产、标准化管理、集约化经营，提高产业化水平。</w:t>
      </w:r>
    </w:p>
    <w:p w14:paraId="61671011">
      <w:pPr>
        <w:pageBreakBefore w:val="0"/>
        <w:widowControl/>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充分调动社会方方面面的积极性，建立多元化的资</w:t>
      </w:r>
      <w:r>
        <w:rPr>
          <w:rFonts w:hint="eastAsia" w:ascii="仿宋_GB2312" w:hAnsi="仿宋_GB2312" w:eastAsia="仿宋_GB2312" w:cs="仿宋_GB2312"/>
          <w:kern w:val="0"/>
          <w:sz w:val="32"/>
          <w:szCs w:val="32"/>
        </w:rPr>
        <w:t>金</w:t>
      </w:r>
      <w:r>
        <w:rPr>
          <w:rFonts w:hint="eastAsia" w:ascii="仿宋_GB2312" w:hAnsi="仿宋_GB2312" w:eastAsia="仿宋_GB2312" w:cs="仿宋_GB2312"/>
          <w:sz w:val="32"/>
          <w:szCs w:val="32"/>
          <w:lang w:val="zh-CN"/>
        </w:rPr>
        <w:t>投入机制，通过统一整合项目资金，鼓励企业、个人、外资各种市场主体通过承包、租赁、股份合作经营等多种形式参与发展竹产业。制定出台加快竹产业发展的实施意见，出台财政扶持奖补政策，对竹产业发展给予扶持。强化科技创新推广，以安徽农业大学、黄山学院等院校及国际竹藤中心太平基地为技术支撑，通过走产学研一体化道路，为竹产业发展提供技术支持和储备。</w:t>
      </w:r>
    </w:p>
    <w:p w14:paraId="483EFA9C">
      <w:pPr>
        <w:pageBreakBefore w:val="0"/>
        <w:widowControl/>
        <w:kinsoku/>
        <w:wordWrap/>
        <w:overflowPunct/>
        <w:topLinePunct w:val="0"/>
        <w:autoSpaceDE/>
        <w:autoSpaceDN/>
        <w:bidi w:val="0"/>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（四）林业加工。</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木竹精深加工。注重整合优化竹加工业，大力筹建和引进先进产品生产线和生产工艺，重视新产品研发，提高产品质量和附加值。大力培育非木质林产业，结合特色林产品优势区和现代林业示范区建设，打造林产品加工产业集群。发展订单生产、订单种植，形成“龙头企业＋基地＋专业合作社＋林农”发展模式。</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林下产品采集加工。充分利用林下产品资源，大力发展特色林下产品加工、流通和销售业，拉长林下经济产业链，提高经济效益。其中：休宁县、祁门县重点发展箬叶采集和山野菜的采集加工；徽州区、黄山区、黟县重点发展竹笋采集加工，加快笋罐头、笋干等系列绿色食品开发，注重精深加工，推动绿色发展，不断提高经济效益，带动山区群众增收致富。</w:t>
      </w:r>
      <w:r>
        <w:rPr>
          <w:rFonts w:hint="eastAsia" w:ascii="仿宋_GB2312" w:hAnsi="仿宋_GB2312" w:eastAsia="仿宋_GB2312" w:cs="仿宋_GB2312"/>
          <w:b/>
          <w:bCs/>
          <w:sz w:val="32"/>
          <w:szCs w:val="32"/>
          <w:lang w:val="zh-CN"/>
        </w:rPr>
        <w:t>三是</w:t>
      </w:r>
      <w:r>
        <w:rPr>
          <w:rFonts w:hint="eastAsia" w:ascii="仿宋_GB2312" w:hAnsi="仿宋_GB2312" w:eastAsia="仿宋_GB2312" w:cs="仿宋_GB2312"/>
          <w:sz w:val="32"/>
          <w:szCs w:val="32"/>
          <w:lang w:val="zh-CN"/>
        </w:rPr>
        <w:t>经营主体扶持。坚持扶优、扶强、扶大的原则，加大对龙头企业在项目立项、土地征用、税收优惠、贷款贴息、技术改造、质量认证、名牌创建和上市融资等方面的支持，鼓励林业龙头企业争创省级和国家级重点龙头企业和名牌产品，不断提高龙头企业的规模与质量。围绕木竹、油茶、香榧、山核桃、林下特色种植养殖等方面，大力发展专业合作社，促进规模化经营、标准化生产。加强与有关部门配合，积极开展农民林业专业合作社“空壳社”清理整顿工作，确保如期完成清理整顿任务。</w:t>
      </w:r>
    </w:p>
    <w:p w14:paraId="3F2BEAC2">
      <w:pPr>
        <w:pStyle w:val="2"/>
        <w:pageBreakBefore w:val="0"/>
        <w:kinsoku/>
        <w:wordWrap/>
        <w:overflowPunct/>
        <w:topLinePunct w:val="0"/>
        <w:autoSpaceDE/>
        <w:autoSpaceDN/>
        <w:bidi w:val="0"/>
        <w:spacing w:after="0" w:line="560" w:lineRule="exact"/>
        <w:ind w:left="0" w:leftChars="0" w:firstLine="562"/>
        <w:textAlignment w:val="auto"/>
        <w:rPr>
          <w:rFonts w:hint="eastAsia" w:ascii="仿宋_GB2312" w:hAnsi="仿宋_GB2312" w:eastAsia="仿宋_GB2312" w:cs="仿宋_GB2312"/>
          <w:sz w:val="32"/>
          <w:szCs w:val="32"/>
          <w:lang w:val="zh-CN" w:bidi="ar"/>
        </w:rPr>
      </w:pPr>
      <w:r>
        <w:rPr>
          <w:rFonts w:hint="eastAsia" w:ascii="楷体_GB2312" w:eastAsia="楷体_GB2312" w:cs="楷体_GB2312" w:hAnsiTheme="minorHAnsi"/>
          <w:b/>
          <w:bCs/>
          <w:kern w:val="2"/>
          <w:sz w:val="32"/>
          <w:szCs w:val="32"/>
          <w:shd w:val="clear" w:color="auto" w:fill="FFFFFF"/>
          <w:lang w:val="zh-CN" w:eastAsia="zh-CN" w:bidi="ar-SA"/>
        </w:rPr>
        <w:t>（五）林下经济。</w:t>
      </w:r>
      <w:r>
        <w:rPr>
          <w:rFonts w:hint="eastAsia" w:ascii="仿宋_GB2312" w:hAnsi="仿宋_GB2312" w:eastAsia="仿宋_GB2312" w:cs="仿宋_GB2312"/>
          <w:sz w:val="32"/>
          <w:szCs w:val="32"/>
          <w:lang w:val="zh-CN"/>
        </w:rPr>
        <w:t>以林地资源为依托，通过兴建基地、培育龙头和创建品牌等方式，着力推进林下经济集约化发展，不断提高林地综合经营效益。加强林药、林菌、林茶、林菜、林果等林下种植模式发展，不断扩大林下特色种植规模。积极引导林禽、林畜、林蜂等林下养殖模式发展，整合各类涉农技术服务资源，积极引进和推广适宜林间种植、养殖的新品种、新技术，注重规划选址和发展特色，不断提升林下特色养殖效益。加强基础设施建设，将林下经济发展配套设施纳入各地基建规划，不断改善林区道路、水电等配套条件，切实提高综合生产能力。加大林权流转力度，进一步发挥江南林业产权交易所的平台载体作用，吸引更多</w:t>
      </w:r>
      <w:r>
        <w:rPr>
          <w:rFonts w:hint="eastAsia" w:ascii="仿宋_GB2312" w:hAnsi="仿宋_GB2312" w:eastAsia="仿宋_GB2312" w:cs="仿宋_GB2312"/>
          <w:sz w:val="32"/>
          <w:szCs w:val="32"/>
          <w:lang w:val="zh-CN" w:bidi="ar"/>
        </w:rPr>
        <w:t>的社会资金和外来投资者发展林下经济。</w:t>
      </w:r>
    </w:p>
    <w:p w14:paraId="307E7903">
      <w:pPr>
        <w:pStyle w:val="2"/>
        <w:pageBreakBefore w:val="0"/>
        <w:kinsoku/>
        <w:wordWrap/>
        <w:overflowPunct/>
        <w:topLinePunct w:val="0"/>
        <w:autoSpaceDE/>
        <w:autoSpaceDN/>
        <w:bidi w:val="0"/>
        <w:spacing w:after="0" w:line="560" w:lineRule="exact"/>
        <w:ind w:left="0" w:leftChars="0" w:firstLine="643" w:firstLineChars="200"/>
        <w:textAlignment w:val="auto"/>
        <w:rPr>
          <w:rFonts w:hint="eastAsia" w:ascii="仿宋_GB2312" w:hAnsi="仿宋_GB2312" w:eastAsia="仿宋_GB2312" w:cs="仿宋_GB2312"/>
          <w:sz w:val="32"/>
          <w:szCs w:val="32"/>
          <w:lang w:val="zh-CN" w:bidi="ar"/>
        </w:rPr>
      </w:pPr>
      <w:r>
        <w:rPr>
          <w:rFonts w:hint="eastAsia" w:ascii="楷体_GB2312" w:eastAsia="楷体_GB2312" w:cs="楷体_GB2312" w:hAnsiTheme="minorHAnsi"/>
          <w:b/>
          <w:bCs/>
          <w:kern w:val="2"/>
          <w:sz w:val="32"/>
          <w:szCs w:val="32"/>
          <w:shd w:val="clear" w:color="auto" w:fill="FFFFFF"/>
          <w:lang w:val="zh-CN" w:eastAsia="zh-CN" w:bidi="ar-SA"/>
        </w:rPr>
        <w:t>（六）森林旅游。</w:t>
      </w:r>
      <w:r>
        <w:rPr>
          <w:rFonts w:hint="eastAsia" w:ascii="仿宋_GB2312" w:hAnsi="仿宋_GB2312" w:eastAsia="仿宋_GB2312" w:cs="仿宋_GB2312"/>
          <w:sz w:val="32"/>
          <w:szCs w:val="32"/>
          <w:lang w:val="zh-CN" w:bidi="ar"/>
        </w:rPr>
        <w:t>按照全域旅游的发展要求，积极推进“旅游+林业”，推进林业与旅游、文化、康养等深度融合，注重四个结合，加快形成特色互补、多元组合的森林旅游产品体系，打造一批特色森林旅游小镇、森林旅游村庄。</w:t>
      </w:r>
      <w:r>
        <w:rPr>
          <w:rFonts w:hint="eastAsia" w:ascii="仿宋_GB2312" w:hAnsi="仿宋_GB2312" w:eastAsia="仿宋_GB2312" w:cs="仿宋_GB2312"/>
          <w:b/>
          <w:bCs/>
          <w:sz w:val="32"/>
          <w:szCs w:val="32"/>
          <w:lang w:val="zh-CN" w:bidi="ar"/>
        </w:rPr>
        <w:t>一是</w:t>
      </w:r>
      <w:r>
        <w:rPr>
          <w:rFonts w:hint="eastAsia" w:ascii="仿宋_GB2312" w:hAnsi="仿宋_GB2312" w:eastAsia="仿宋_GB2312" w:cs="仿宋_GB2312"/>
          <w:sz w:val="32"/>
          <w:szCs w:val="32"/>
          <w:lang w:val="zh-CN" w:bidi="ar"/>
        </w:rPr>
        <w:t>与景区旅游相结合，把森林旅游纳入重点旅游线路当中，有机整合、连点互动；</w:t>
      </w:r>
      <w:r>
        <w:rPr>
          <w:rFonts w:hint="eastAsia" w:ascii="仿宋_GB2312" w:hAnsi="仿宋_GB2312" w:eastAsia="仿宋_GB2312" w:cs="仿宋_GB2312"/>
          <w:b/>
          <w:bCs/>
          <w:sz w:val="32"/>
          <w:szCs w:val="32"/>
          <w:lang w:val="zh-CN" w:bidi="ar"/>
        </w:rPr>
        <w:t>二是</w:t>
      </w:r>
      <w:r>
        <w:rPr>
          <w:rFonts w:hint="eastAsia" w:ascii="仿宋_GB2312" w:hAnsi="仿宋_GB2312" w:eastAsia="仿宋_GB2312" w:cs="仿宋_GB2312"/>
          <w:sz w:val="32"/>
          <w:szCs w:val="32"/>
          <w:lang w:val="zh-CN" w:bidi="ar"/>
        </w:rPr>
        <w:t>与乡村旅游相结合，依托丰富的竹园、果园、茶园和花卉苗木、中药材等基地，大力发展休闲养生、农事体验等项目；</w:t>
      </w:r>
      <w:r>
        <w:rPr>
          <w:rFonts w:hint="eastAsia" w:ascii="仿宋_GB2312" w:hAnsi="仿宋_GB2312" w:eastAsia="仿宋_GB2312" w:cs="仿宋_GB2312"/>
          <w:b/>
          <w:bCs/>
          <w:sz w:val="32"/>
          <w:szCs w:val="32"/>
          <w:lang w:val="zh-CN" w:bidi="ar"/>
        </w:rPr>
        <w:t>三是</w:t>
      </w:r>
      <w:r>
        <w:rPr>
          <w:rFonts w:hint="eastAsia" w:ascii="仿宋_GB2312" w:hAnsi="仿宋_GB2312" w:eastAsia="仿宋_GB2312" w:cs="仿宋_GB2312"/>
          <w:sz w:val="32"/>
          <w:szCs w:val="32"/>
          <w:lang w:val="zh-CN" w:bidi="ar"/>
        </w:rPr>
        <w:t>与文化旅游相结合，积极开发森林古道和黄山古树之旅、山里人家民俗风情游、“林家铺子”山林文化游、农事风俗体验游等特色产品；</w:t>
      </w:r>
      <w:r>
        <w:rPr>
          <w:rFonts w:hint="eastAsia" w:ascii="仿宋_GB2312" w:hAnsi="仿宋_GB2312" w:eastAsia="仿宋_GB2312" w:cs="仿宋_GB2312"/>
          <w:b/>
          <w:bCs/>
          <w:sz w:val="32"/>
          <w:szCs w:val="32"/>
          <w:lang w:val="zh-CN" w:bidi="ar"/>
        </w:rPr>
        <w:t>四是</w:t>
      </w:r>
      <w:r>
        <w:rPr>
          <w:rFonts w:hint="eastAsia" w:ascii="仿宋_GB2312" w:hAnsi="仿宋_GB2312" w:eastAsia="仿宋_GB2312" w:cs="仿宋_GB2312"/>
          <w:sz w:val="32"/>
          <w:szCs w:val="32"/>
          <w:lang w:val="zh-CN" w:bidi="ar"/>
        </w:rPr>
        <w:t>与美丽乡村建设相结合，利用新村建设、老村保护改造，结合深化巩固国有林场改革成果，大力发展“森林旅游人家”和森林康养等新型业态，利用优势资源因地制宜建设森林康养特色基地。</w:t>
      </w:r>
    </w:p>
    <w:p w14:paraId="01689724">
      <w:pPr>
        <w:pStyle w:val="2"/>
        <w:pageBreakBefore w:val="0"/>
        <w:kinsoku/>
        <w:wordWrap/>
        <w:overflowPunct/>
        <w:topLinePunct w:val="0"/>
        <w:autoSpaceDE/>
        <w:autoSpaceDN/>
        <w:bidi w:val="0"/>
        <w:spacing w:after="0" w:line="560" w:lineRule="exact"/>
        <w:ind w:left="0" w:leftChars="0"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（七）国有林场。</w:t>
      </w:r>
      <w:r>
        <w:rPr>
          <w:rFonts w:hint="eastAsia" w:ascii="仿宋_GB2312" w:hAnsi="仿宋_GB2312" w:eastAsia="仿宋_GB2312" w:cs="仿宋_GB2312"/>
          <w:sz w:val="32"/>
          <w:szCs w:val="32"/>
          <w:lang w:val="zh-CN" w:bidi="ar"/>
        </w:rPr>
        <w:t>坚持生态优先、绿色发展原则，依法依规、积极有效探索国有森林资源资产有偿使用制度改革，坚定走市场化方式推进国有林场合作经营之路。</w:t>
      </w:r>
      <w:r>
        <w:rPr>
          <w:rFonts w:hint="eastAsia" w:ascii="仿宋_GB2312" w:hAnsi="仿宋_GB2312" w:eastAsia="仿宋_GB2312" w:cs="仿宋_GB2312"/>
          <w:sz w:val="32"/>
          <w:szCs w:val="32"/>
          <w:lang w:val="zh-CN"/>
        </w:rPr>
        <w:t>依法依规、</w:t>
      </w:r>
      <w:r>
        <w:rPr>
          <w:rFonts w:hint="eastAsia" w:ascii="仿宋_GB2312" w:hAnsi="仿宋_GB2312" w:eastAsia="仿宋_GB2312" w:cs="仿宋_GB2312"/>
          <w:sz w:val="32"/>
          <w:szCs w:val="32"/>
        </w:rPr>
        <w:t>积极有效探索国有森林资源资产有偿使用制度改革，</w:t>
      </w:r>
      <w:r>
        <w:rPr>
          <w:rFonts w:hint="eastAsia" w:ascii="仿宋_GB2312" w:hAnsi="仿宋_GB2312" w:eastAsia="仿宋_GB2312" w:cs="仿宋_GB2312"/>
          <w:sz w:val="32"/>
          <w:szCs w:val="32"/>
          <w:lang w:val="zh-CN" w:bidi="ar"/>
        </w:rPr>
        <w:t>鼓励国有林场创新经营机制，通过依法合理利用森林资源、盘活闲置资</w:t>
      </w:r>
      <w:r>
        <w:rPr>
          <w:rFonts w:hint="eastAsia" w:ascii="仿宋_GB2312" w:hAnsi="仿宋_GB2312" w:eastAsia="仿宋_GB2312" w:cs="仿宋_GB2312"/>
          <w:sz w:val="32"/>
          <w:szCs w:val="32"/>
          <w:lang w:val="zh-CN"/>
        </w:rPr>
        <w:t>产等多种方式开展合作经营，大力发展</w:t>
      </w:r>
      <w:r>
        <w:rPr>
          <w:rFonts w:hint="eastAsia" w:ascii="仿宋_GB2312" w:hAnsi="仿宋_GB2312" w:eastAsia="仿宋_GB2312" w:cs="仿宋_GB2312"/>
          <w:sz w:val="32"/>
          <w:szCs w:val="32"/>
          <w:lang w:val="zh-CN" w:bidi="ar"/>
        </w:rPr>
        <w:t>生态旅游、森林康养、森林科普、生态研学、林下种养殖、花卉苗木、林业科技研发等生态型项目</w:t>
      </w:r>
      <w:r>
        <w:rPr>
          <w:rFonts w:hint="eastAsia" w:ascii="仿宋_GB2312" w:hAnsi="仿宋_GB2312" w:eastAsia="仿宋_GB2312" w:cs="仿宋_GB2312"/>
          <w:sz w:val="32"/>
          <w:szCs w:val="32"/>
          <w:lang w:val="zh-CN"/>
        </w:rPr>
        <w:t>，实现资源增长、林场增效、职工增收，</w:t>
      </w:r>
      <w:r>
        <w:rPr>
          <w:rFonts w:hint="eastAsia" w:ascii="仿宋_GB2312" w:hAnsi="仿宋_GB2312" w:eastAsia="仿宋_GB2312" w:cs="仿宋_GB2312"/>
          <w:sz w:val="32"/>
          <w:szCs w:val="32"/>
          <w:lang w:val="zh-CN" w:bidi="ar"/>
        </w:rPr>
        <w:t>为建设新阶段现代化新黄山作出积极贡献。</w:t>
      </w:r>
    </w:p>
    <w:tbl>
      <w:tblPr>
        <w:tblStyle w:val="19"/>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14:paraId="44B1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22" w:type="dxa"/>
          </w:tcPr>
          <w:p w14:paraId="7E377343">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专栏七 绿色富民产业工程</w:t>
            </w:r>
          </w:p>
          <w:p w14:paraId="3ABF2E2D">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木本油料产业。</w:t>
            </w:r>
            <w:r>
              <w:rPr>
                <w:rFonts w:hint="eastAsia" w:ascii="仿宋_GB2312" w:hAnsi="仿宋_GB2312" w:eastAsia="仿宋_GB2312" w:cs="仿宋_GB2312"/>
                <w:sz w:val="28"/>
                <w:szCs w:val="28"/>
                <w:lang w:val="zh-CN"/>
              </w:rPr>
              <w:t>力争到2025年，全市木本油料种植面积发展到50万亩，建设油茶、香榧等木本油料产业示范基地5个。</w:t>
            </w:r>
          </w:p>
          <w:p w14:paraId="28D45307">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特色经济林。</w:t>
            </w:r>
            <w:r>
              <w:rPr>
                <w:rFonts w:hint="eastAsia" w:ascii="仿宋_GB2312" w:hAnsi="仿宋_GB2312" w:eastAsia="仿宋_GB2312" w:cs="仿宋_GB2312"/>
                <w:sz w:val="28"/>
                <w:szCs w:val="28"/>
                <w:lang w:val="zh-CN"/>
              </w:rPr>
              <w:t>力争到2025年，建设优质干鲜果、木本中药材、森林食品生产高效示范基地20个。</w:t>
            </w:r>
          </w:p>
          <w:p w14:paraId="2E0352A6">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竹产业。</w:t>
            </w:r>
            <w:r>
              <w:rPr>
                <w:rFonts w:hint="eastAsia" w:ascii="仿宋_GB2312" w:hAnsi="仿宋_GB2312" w:eastAsia="仿宋_GB2312" w:cs="仿宋_GB2312"/>
                <w:sz w:val="28"/>
                <w:szCs w:val="28"/>
                <w:lang w:val="zh-CN"/>
              </w:rPr>
              <w:t>力争到2025年，全市打造千亩以上高效竹林示范基地15个。</w:t>
            </w:r>
          </w:p>
          <w:p w14:paraId="009D193B">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林业加工。</w:t>
            </w:r>
            <w:r>
              <w:rPr>
                <w:rFonts w:hint="eastAsia" w:ascii="仿宋_GB2312" w:hAnsi="仿宋_GB2312" w:eastAsia="仿宋_GB2312" w:cs="仿宋_GB2312"/>
                <w:sz w:val="28"/>
                <w:szCs w:val="28"/>
                <w:lang w:val="zh-CN"/>
              </w:rPr>
              <w:t>力争到2025年，加工业产值达120亿元以上，新增省级以上农民林业专业合作社示范社5家以上，省级和国家级林业产业化龙头企业60家以上。</w:t>
            </w:r>
          </w:p>
          <w:p w14:paraId="521CABF6">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林下经济。</w:t>
            </w:r>
            <w:r>
              <w:rPr>
                <w:rFonts w:hint="eastAsia" w:ascii="仿宋_GB2312" w:hAnsi="仿宋_GB2312" w:eastAsia="仿宋_GB2312" w:cs="仿宋_GB2312"/>
                <w:sz w:val="28"/>
                <w:szCs w:val="28"/>
                <w:lang w:val="zh-CN"/>
              </w:rPr>
              <w:t>力争到2025年，全市林下经济面积达到160万亩，林下经济产值突破240亿元，直接参与林下经济发展的林农人均收入翻一番，打造40个高效林下经济示范点，形成结构合理、区域优势明显、竞争力强的林下产业体系，促进山区群众收入和森林资源的“双增长”。</w:t>
            </w:r>
          </w:p>
          <w:p w14:paraId="760B2CDE">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森林旅游。</w:t>
            </w:r>
            <w:r>
              <w:rPr>
                <w:rFonts w:hint="eastAsia" w:ascii="仿宋_GB2312" w:hAnsi="仿宋_GB2312" w:eastAsia="仿宋_GB2312" w:cs="仿宋_GB2312"/>
                <w:sz w:val="28"/>
                <w:szCs w:val="28"/>
                <w:lang w:val="zh-CN"/>
              </w:rPr>
              <w:t>力争到2025年，全市省级以上森林旅游人家突破100家，打造20个“旅游+林业”示范点，全市森林旅游及服务业实现收入突破200亿元，走出一条特色鲜明的林旅互动发展新模式。</w:t>
            </w:r>
          </w:p>
          <w:p w14:paraId="74E3461F">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lang w:val="zh-CN"/>
              </w:rPr>
              <w:t>国有林场。</w:t>
            </w:r>
            <w:r>
              <w:rPr>
                <w:rFonts w:hint="eastAsia" w:ascii="仿宋_GB2312" w:hAnsi="仿宋_GB2312" w:eastAsia="仿宋_GB2312" w:cs="仿宋_GB2312"/>
                <w:sz w:val="28"/>
                <w:szCs w:val="28"/>
                <w:lang w:val="zh-CN" w:bidi="ar"/>
              </w:rPr>
              <w:t>“十四五”期间，全市</w:t>
            </w:r>
            <w:r>
              <w:rPr>
                <w:rFonts w:hint="eastAsia" w:ascii="仿宋_GB2312" w:hAnsi="仿宋_GB2312" w:eastAsia="仿宋_GB2312" w:cs="仿宋_GB2312"/>
                <w:sz w:val="28"/>
                <w:szCs w:val="28"/>
                <w:lang w:val="zh-CN"/>
              </w:rPr>
              <w:t>10</w:t>
            </w:r>
            <w:r>
              <w:rPr>
                <w:rFonts w:hint="eastAsia" w:ascii="仿宋_GB2312" w:hAnsi="仿宋_GB2312" w:eastAsia="仿宋_GB2312" w:cs="仿宋_GB2312"/>
                <w:sz w:val="28"/>
                <w:szCs w:val="28"/>
                <w:lang w:val="zh-CN" w:bidi="ar"/>
              </w:rPr>
              <w:t>个国有林场规划建设</w:t>
            </w:r>
            <w:r>
              <w:rPr>
                <w:rFonts w:hint="eastAsia" w:ascii="仿宋_GB2312" w:hAnsi="仿宋_GB2312" w:eastAsia="仿宋_GB2312" w:cs="仿宋_GB2312"/>
                <w:sz w:val="28"/>
                <w:szCs w:val="28"/>
                <w:lang w:val="zh-CN"/>
              </w:rPr>
              <w:t>14个合作经营项目，其中新建12个、扩建2个。</w:t>
            </w:r>
          </w:p>
        </w:tc>
      </w:tr>
    </w:tbl>
    <w:p w14:paraId="313E2B7E">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sz w:val="32"/>
          <w:szCs w:val="32"/>
        </w:rPr>
      </w:pPr>
      <w:bookmarkStart w:id="183" w:name="_Toc29392"/>
      <w:bookmarkStart w:id="184" w:name="_Toc4006"/>
      <w:bookmarkStart w:id="185" w:name="_Toc19203"/>
      <w:bookmarkStart w:id="186" w:name="_Toc26775"/>
      <w:bookmarkStart w:id="187" w:name="_Toc31061"/>
      <w:bookmarkStart w:id="188" w:name="_Toc19972"/>
      <w:bookmarkStart w:id="189" w:name="_Toc18837"/>
      <w:bookmarkStart w:id="190" w:name="_Toc16349"/>
      <w:bookmarkStart w:id="191" w:name="_Toc28103"/>
      <w:r>
        <w:rPr>
          <w:rFonts w:hint="eastAsia" w:ascii="黑体" w:hAnsi="黑体" w:eastAsia="黑体" w:cs="黑体"/>
          <w:b w:val="0"/>
          <w:bCs w:val="0"/>
          <w:sz w:val="32"/>
          <w:szCs w:val="32"/>
        </w:rPr>
        <w:t>六、推动林业科技创新，夯实林业设施基础</w:t>
      </w:r>
      <w:bookmarkEnd w:id="183"/>
      <w:bookmarkEnd w:id="184"/>
      <w:bookmarkEnd w:id="185"/>
      <w:bookmarkEnd w:id="186"/>
      <w:bookmarkEnd w:id="187"/>
      <w:bookmarkEnd w:id="188"/>
      <w:bookmarkEnd w:id="189"/>
      <w:bookmarkEnd w:id="190"/>
      <w:bookmarkEnd w:id="191"/>
    </w:p>
    <w:p w14:paraId="76C4A599">
      <w:pPr>
        <w:pageBreakBefore w:val="0"/>
        <w:widowControl/>
        <w:kinsoku/>
        <w:wordWrap/>
        <w:overflowPunct/>
        <w:topLinePunct w:val="0"/>
        <w:autoSpaceDE/>
        <w:autoSpaceDN/>
        <w:bidi w:val="0"/>
        <w:spacing w:line="560" w:lineRule="exact"/>
        <w:ind w:firstLine="561" w:firstLineChars="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围绕科技创新和生态建设紧密结合，以突破核心关键技术、强化技术集成配套、改善林业科技创新条件为重点，提升林业科技创新能力，促进林业科技成果转化和推广应用，为现代林业发展提供有力科技支撑。切实保护森林资源，夯实林业基础设施，促进黄山市林业建设、保护与利用的良性互动，进一步夯实和发展黄山市林业建设成效。参照建制镇标准，推动国有林场纳入乡村振兴战略统一规划实施，把国有林场经营范围内的道路、供电、供水、管护用房、林业科普等基础设施和配套服务设施建设纳入同级人民政府国民经济和社会发展规划，切实改善林场基础设施，逐步引入无人机、视频监控、远距离瞭望等先进科技设备，提高日常巡查和管护效率，增强森林资源管理能力。</w:t>
      </w:r>
    </w:p>
    <w:p w14:paraId="5678E8DC">
      <w:pPr>
        <w:pageBreakBefore w:val="0"/>
        <w:widowControl/>
        <w:kinsoku/>
        <w:wordWrap/>
        <w:overflowPunct/>
        <w:topLinePunct w:val="0"/>
        <w:autoSpaceDE/>
        <w:autoSpaceDN/>
        <w:bidi w:val="0"/>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（一）智慧林业建设。</w:t>
      </w:r>
      <w:r>
        <w:rPr>
          <w:rFonts w:hint="eastAsia" w:ascii="仿宋_GB2312" w:hAnsi="仿宋_GB2312" w:eastAsia="仿宋_GB2312" w:cs="仿宋_GB2312"/>
          <w:sz w:val="32"/>
          <w:szCs w:val="32"/>
          <w:lang w:val="zh-CN"/>
        </w:rPr>
        <w:t>建立森林资源空间数据库，实现各个系统资源共享，应用于森林防火、林业有害生物防控、森林资源保护、野生动植物保护、森林案件查处等重大公共事件的应急指挥问题，为林业全面建设提供依据和参考。健全完善“五个一”服务平台，切实发挥好“五个一”平台服务林长履责作用。引入互联网+、5G、大数据和云计算等先进科学技术理念，融合计算机编程与地理信息系统空间分析技术，开发并应用“平台+移动端”的林长制智慧平台，实现智能查询、日常监管、调度考核等八大功能平台操作，既能在线查询森林资源分布状况，又能随时掌握责任区域、任务完成及护林员巡护轨迹等，做到实时监管、在线调度。</w:t>
      </w:r>
    </w:p>
    <w:p w14:paraId="7086DDF6">
      <w:pPr>
        <w:pageBreakBefore w:val="0"/>
        <w:widowControl/>
        <w:kinsoku/>
        <w:wordWrap/>
        <w:overflowPunct/>
        <w:topLinePunct w:val="0"/>
        <w:autoSpaceDE/>
        <w:autoSpaceDN/>
        <w:bidi w:val="0"/>
        <w:spacing w:line="560" w:lineRule="exact"/>
        <w:ind w:firstLine="560" w:firstLineChars="0"/>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（二）林业科技推广创新行动。</w:t>
      </w:r>
      <w:r>
        <w:rPr>
          <w:rFonts w:hint="eastAsia" w:ascii="仿宋_GB2312" w:hAnsi="仿宋_GB2312" w:eastAsia="仿宋_GB2312" w:cs="仿宋_GB2312"/>
          <w:sz w:val="32"/>
          <w:szCs w:val="32"/>
          <w:lang w:val="zh-CN"/>
        </w:rPr>
        <w:t>加强林业技术推广应用，以市林科所和各区县林业科技推广中心为载体，认真抓好国家和省级林业科技项目建设，围绕良种繁育、森林经营、特色经济林建设等方面，加大林业科技推广力度。开展全市林木种质资源普查，依托丰富的林木种质资源，建立原地和异地相结合的林木种质资源库，开展种质资源评价和利用研究。集成一批实用林业技术，服务林业增绿增效行动，建成森林质量精准提升示范林，发挥示范引领作用，整体带动林业科技进步，及时将科技成果转化为实践应用。积极与中国林科院亚林所、浙江农林大学、安徽省林科院、黄山学院等林业院校和科研机构沟通对接，不断推动森林资源管理、生物多样性保护、林业有害生物防治、林木良种选育、森林抚育、生物质材料开发等方面合作，建立长期合作关系，为全市科技创新和推广提供技术支撑。</w:t>
      </w:r>
    </w:p>
    <w:p w14:paraId="6FEE41EE">
      <w:pPr>
        <w:pageBreakBefore w:val="0"/>
        <w:kinsoku/>
        <w:wordWrap/>
        <w:overflowPunct/>
        <w:topLinePunct w:val="0"/>
        <w:autoSpaceDE/>
        <w:autoSpaceDN/>
        <w:bidi w:val="0"/>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（三）林木良种基地建设。</w:t>
      </w:r>
      <w:r>
        <w:rPr>
          <w:rFonts w:hint="eastAsia" w:ascii="仿宋_GB2312" w:hAnsi="仿宋_GB2312" w:eastAsia="仿宋_GB2312" w:cs="仿宋_GB2312"/>
          <w:sz w:val="32"/>
          <w:szCs w:val="32"/>
          <w:lang w:val="zh-CN"/>
        </w:rPr>
        <w:t>建立健全林木良种基地建设长效机制，稳定补助资金投入，确保良种繁育基地长期正常运转。科学制定发展规划，明确基地建设任务；切实加强科技支撑，全面提高技术水平；强化经营措施，不断提高良种品质和产量；积极争取扶持政策，确保基地持续发展。重点开展油茶、香榧等木本油料树种选育，进行多世代连续改良，推进高世代育种，并通过优质、高产、高抗等多因素综合测定与评价，精选出生产力高、性状稳定的优良品种，推动良种基地的迭代升级。坚持自主研究与引进利用相结合，研究出油茶和薄壳山核桃的优良品种配置技术。注重生产实际，着力于油茶等木本油料和铁皮石斛等林特资源，着眼长远发展，以林木良种基地、国有林场、苗圃为平台，积极争取保障性苗圃政策，加大主要造林树种良种苗木培育和推广，着力提高优质良种苗木的有效供给，</w:t>
      </w:r>
    </w:p>
    <w:p w14:paraId="77193B3F">
      <w:pPr>
        <w:pStyle w:val="2"/>
        <w:pageBreakBefore w:val="0"/>
        <w:kinsoku/>
        <w:wordWrap/>
        <w:overflowPunct/>
        <w:topLinePunct w:val="0"/>
        <w:autoSpaceDE/>
        <w:autoSpaceDN/>
        <w:bidi w:val="0"/>
        <w:spacing w:after="0" w:line="560" w:lineRule="exact"/>
        <w:ind w:left="0" w:leftChars="0"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（四）标准化林业站建设。</w:t>
      </w:r>
      <w:r>
        <w:rPr>
          <w:rFonts w:hint="eastAsia" w:ascii="仿宋_GB2312" w:hAnsi="仿宋_GB2312" w:eastAsia="仿宋_GB2312" w:cs="仿宋_GB2312"/>
          <w:sz w:val="32"/>
          <w:szCs w:val="32"/>
          <w:lang w:val="zh-CN"/>
        </w:rPr>
        <w:t>林业站是林业事业发展的基石，是落实各项林业工作的重要抓手、联系服务林农群众的桥梁，也是健全稳定林业管理体系、有效执行林业政策措施的重要保障。根据《标准化林业工作站建设检查验收办法》，加强站房、站牌、车辆、工作机械等基础设施投入。强化人才队伍建设，着力培训基层林业管理人才和专业人才，更新知识结构，提升素质能力。创新基层林业服务模式，提高林业工作站发展能力和基层林业管理人员的沟通和组织能力。</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5CEE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11D08B0">
            <w:pPr>
              <w:pageBreakBefore w:val="0"/>
              <w:widowControl/>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专栏八 林业基础厚植工程</w:t>
            </w:r>
          </w:p>
          <w:p w14:paraId="13F268CC">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智慧林业建设。</w:t>
            </w:r>
            <w:r>
              <w:rPr>
                <w:rFonts w:hint="eastAsia" w:ascii="仿宋_GB2312" w:hAnsi="仿宋_GB2312" w:eastAsia="仿宋_GB2312" w:cs="仿宋_GB2312"/>
                <w:sz w:val="28"/>
                <w:szCs w:val="28"/>
                <w:lang w:val="zh-CN"/>
              </w:rPr>
              <w:t>到2025年，完成全市林长制智慧平台建设，林业信息化率达到90%，建成较为完善的林业信息化体系，全面提升林业信息化应用水平，基本实现智慧林业目标。</w:t>
            </w:r>
          </w:p>
          <w:p w14:paraId="798213BA">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林业科技推广创新行动。</w:t>
            </w:r>
            <w:r>
              <w:rPr>
                <w:rFonts w:hint="eastAsia" w:ascii="仿宋_GB2312" w:hAnsi="仿宋_GB2312" w:eastAsia="仿宋_GB2312" w:cs="仿宋_GB2312"/>
                <w:sz w:val="28"/>
                <w:szCs w:val="28"/>
                <w:lang w:val="zh-CN"/>
              </w:rPr>
              <w:t>“十四五”期间，以黄山市林科所为载体，建设安徽黄山林木育种和森林培育国家长期科研基地。</w:t>
            </w:r>
          </w:p>
          <w:p w14:paraId="3AC2CDEB">
            <w:pPr>
              <w:pageBreakBefore w:val="0"/>
              <w:widowControl/>
              <w:kinsoku/>
              <w:wordWrap/>
              <w:overflowPunct/>
              <w:topLinePunct w:val="0"/>
              <w:autoSpaceDE/>
              <w:autoSpaceDN/>
              <w:bidi w:val="0"/>
              <w:spacing w:line="560" w:lineRule="exact"/>
              <w:ind w:firstLine="561" w:firstLineChars="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林木良种基地建设。</w:t>
            </w:r>
            <w:r>
              <w:rPr>
                <w:rFonts w:hint="eastAsia" w:ascii="仿宋_GB2312" w:hAnsi="仿宋_GB2312" w:eastAsia="仿宋_GB2312" w:cs="仿宋_GB2312"/>
                <w:sz w:val="28"/>
                <w:szCs w:val="28"/>
                <w:lang w:val="zh-CN"/>
              </w:rPr>
              <w:t>“十四五”期间建设林木良种基地4个，建设面积6838亩，其中国家重点林木良种基地3个（市林科所、休宁西田林场、祁门查湾采育场），面积6488亩；省重点林木良种基地1个（歙西林场），面积350亩，实现油茶、杉木、枫香、香榧等主要造林树种良种生产基地化。到2025年，全市主要造林树种良种使用率达88%以上。</w:t>
            </w:r>
          </w:p>
          <w:p w14:paraId="0C2DC1D3">
            <w:pPr>
              <w:pageBreakBefore w:val="0"/>
              <w:kinsoku/>
              <w:wordWrap/>
              <w:overflowPunct/>
              <w:topLinePunct w:val="0"/>
              <w:autoSpaceDE/>
              <w:autoSpaceDN/>
              <w:bidi w:val="0"/>
              <w:spacing w:line="560" w:lineRule="exact"/>
              <w:ind w:firstLine="482"/>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28"/>
                <w:szCs w:val="28"/>
                <w:lang w:val="zh-CN"/>
              </w:rPr>
              <w:t>标准化林业站建设。</w:t>
            </w:r>
            <w:r>
              <w:rPr>
                <w:rFonts w:hint="eastAsia" w:ascii="仿宋_GB2312" w:hAnsi="仿宋_GB2312" w:eastAsia="仿宋_GB2312" w:cs="仿宋_GB2312"/>
                <w:sz w:val="28"/>
                <w:szCs w:val="28"/>
                <w:lang w:val="zh-CN"/>
              </w:rPr>
              <w:t>到2025年，全市新建标准化林业站10个。</w:t>
            </w:r>
          </w:p>
        </w:tc>
      </w:tr>
    </w:tbl>
    <w:p w14:paraId="0248328A">
      <w:pPr>
        <w:ind w:firstLine="0" w:firstLineChars="0"/>
        <w:jc w:val="left"/>
      </w:pPr>
      <w:r>
        <w:br w:type="page"/>
      </w:r>
    </w:p>
    <w:p w14:paraId="1A6602B3">
      <w:pPr>
        <w:pageBreakBefore w:val="0"/>
        <w:numPr>
          <w:ilvl w:val="0"/>
          <w:numId w:val="1"/>
        </w:numPr>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bookmarkStart w:id="192" w:name="_Toc14068"/>
      <w:bookmarkStart w:id="193" w:name="_Toc18589"/>
      <w:bookmarkStart w:id="194" w:name="_Toc15778"/>
      <w:bookmarkStart w:id="195" w:name="_Toc104"/>
      <w:bookmarkStart w:id="196" w:name="_Toc17940"/>
      <w:bookmarkStart w:id="197" w:name="_Toc26093"/>
      <w:bookmarkStart w:id="198" w:name="_Toc18572"/>
      <w:bookmarkStart w:id="199" w:name="_Toc16053"/>
      <w:bookmarkStart w:id="200" w:name="_Toc4586"/>
      <w:r>
        <w:rPr>
          <w:rFonts w:hint="eastAsia" w:ascii="方正小标宋简体" w:hAnsi="方正小标宋简体" w:eastAsia="方正小标宋简体" w:cs="方正小标宋简体"/>
          <w:b w:val="0"/>
          <w:bCs w:val="0"/>
          <w:sz w:val="44"/>
          <w:szCs w:val="44"/>
        </w:rPr>
        <w:t>保障措施</w:t>
      </w:r>
      <w:bookmarkEnd w:id="192"/>
      <w:bookmarkEnd w:id="193"/>
      <w:bookmarkEnd w:id="194"/>
      <w:bookmarkEnd w:id="195"/>
      <w:bookmarkEnd w:id="196"/>
      <w:bookmarkEnd w:id="197"/>
      <w:bookmarkEnd w:id="198"/>
      <w:bookmarkEnd w:id="199"/>
      <w:bookmarkEnd w:id="200"/>
    </w:p>
    <w:p w14:paraId="2E88649A">
      <w:pPr>
        <w:pStyle w:val="2"/>
        <w:pageBreakBefore w:val="0"/>
        <w:kinsoku/>
        <w:wordWrap/>
        <w:overflowPunct/>
        <w:topLinePunct w:val="0"/>
        <w:autoSpaceDE/>
        <w:autoSpaceDN/>
        <w:bidi w:val="0"/>
        <w:adjustRightInd/>
        <w:snapToGrid/>
        <w:spacing w:after="0" w:line="560" w:lineRule="exact"/>
        <w:textAlignment w:val="auto"/>
        <w:rPr>
          <w:rFonts w:hint="eastAsia"/>
        </w:rPr>
      </w:pPr>
    </w:p>
    <w:p w14:paraId="500783C9">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黑体" w:hAnsi="黑体" w:eastAsia="黑体" w:cs="黑体"/>
          <w:b w:val="0"/>
          <w:bCs w:val="0"/>
          <w:sz w:val="32"/>
          <w:szCs w:val="32"/>
        </w:rPr>
      </w:pPr>
      <w:bookmarkStart w:id="201" w:name="_Toc4372"/>
      <w:bookmarkStart w:id="202" w:name="_Toc26214"/>
      <w:bookmarkStart w:id="203" w:name="_Toc4064"/>
      <w:bookmarkStart w:id="204" w:name="_Toc7856"/>
      <w:bookmarkStart w:id="205" w:name="_Toc9255"/>
      <w:bookmarkStart w:id="206" w:name="_Toc2033"/>
      <w:bookmarkStart w:id="207" w:name="_Toc30953"/>
      <w:bookmarkStart w:id="208" w:name="_Toc4672"/>
      <w:bookmarkStart w:id="209" w:name="_Toc1187"/>
      <w:r>
        <w:rPr>
          <w:rFonts w:hint="eastAsia" w:ascii="黑体" w:hAnsi="黑体" w:eastAsia="黑体" w:cs="黑体"/>
          <w:b w:val="0"/>
          <w:bCs w:val="0"/>
          <w:sz w:val="32"/>
          <w:szCs w:val="32"/>
        </w:rPr>
        <w:t>一、体制机制保障</w:t>
      </w:r>
      <w:bookmarkEnd w:id="201"/>
      <w:bookmarkEnd w:id="202"/>
      <w:bookmarkEnd w:id="203"/>
      <w:bookmarkEnd w:id="204"/>
      <w:bookmarkEnd w:id="205"/>
      <w:bookmarkEnd w:id="206"/>
      <w:bookmarkEnd w:id="207"/>
      <w:bookmarkEnd w:id="208"/>
      <w:bookmarkEnd w:id="209"/>
    </w:p>
    <w:p w14:paraId="1574B76F">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立健全目标考核机制，把生态建设的主要指标纳入任期目标和年度工作目标，确保领导到位、责任到位、投入到位。加快推进林长制法治化建设，进一步优化深化“林长+检察长”协同机制，压实各级林长责任。加强林检联动监督，积极探索检察机关在林长制工作中的司法介入、助推机制、涉林行政执法与刑事司法衔接机制、检察监督嵌入式协作机制，推动“林长+检察长”工作机制在管山护林，统筹推进山水林田湖草综合治理中发挥作用。</w:t>
      </w:r>
    </w:p>
    <w:p w14:paraId="7ACC938F">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持续深化新安江流域生态补偿机制，坚持“谁受益、谁补偿，谁保护、谁受偿”原则，运用行政和市场手段，不断拓宽资金、产业、人才等综合补偿路径，促进上下游各得其所、彼此受益，实现区域高质量协调发展。推动新一轮新安江流域生态补偿机制改革完善升级为新安江—千岛湖生态补偿试验区建设。</w:t>
      </w:r>
    </w:p>
    <w:p w14:paraId="3B167F71">
      <w:pPr>
        <w:pStyle w:val="18"/>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推动县（区）总林长责任清单、护林员履职清单管理模式建设，促进林长和护林员更好履职，实现林长制工作制度化、规范化、信息化。</w:t>
      </w:r>
    </w:p>
    <w:p w14:paraId="55837A4A">
      <w:pPr>
        <w:pStyle w:val="18"/>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kern w:val="2"/>
          <w:sz w:val="32"/>
          <w:szCs w:val="32"/>
          <w:lang w:val="zh-CN"/>
        </w:rPr>
      </w:pPr>
      <w:r>
        <w:rPr>
          <w:rFonts w:hint="eastAsia" w:ascii="楷体_GB2312" w:eastAsia="楷体_GB2312" w:cs="楷体_GB2312" w:hAnsiTheme="minorHAnsi"/>
          <w:b/>
          <w:bCs/>
          <w:kern w:val="2"/>
          <w:sz w:val="32"/>
          <w:szCs w:val="32"/>
          <w:shd w:val="clear" w:color="auto" w:fill="FFFFFF"/>
          <w:lang w:val="zh-CN" w:eastAsia="zh-CN" w:bidi="ar-SA"/>
        </w:rPr>
        <w:t>县（区）总林长责任清单。</w:t>
      </w:r>
      <w:r>
        <w:rPr>
          <w:rFonts w:hint="eastAsia" w:ascii="仿宋_GB2312" w:hAnsi="仿宋_GB2312" w:eastAsia="仿宋_GB2312" w:cs="仿宋_GB2312"/>
          <w:b/>
          <w:bCs/>
          <w:kern w:val="2"/>
          <w:sz w:val="32"/>
          <w:szCs w:val="32"/>
          <w:lang w:val="zh-CN"/>
        </w:rPr>
        <w:t>一是</w:t>
      </w:r>
      <w:r>
        <w:rPr>
          <w:rFonts w:hint="eastAsia" w:ascii="仿宋_GB2312" w:hAnsi="仿宋_GB2312" w:eastAsia="仿宋_GB2312" w:cs="仿宋_GB2312"/>
          <w:kern w:val="2"/>
          <w:sz w:val="32"/>
          <w:szCs w:val="32"/>
          <w:lang w:val="zh-CN"/>
        </w:rPr>
        <w:t>森林资源情况，内容为林长责任区域森林资源基本情况，包括森林覆盖率、活立木蓄积、森林蓄积、林地面积、森林面积、生态公益林和天然林面积、各类自然保护地面积、古树名木情况等。</w:t>
      </w:r>
      <w:r>
        <w:rPr>
          <w:rFonts w:hint="eastAsia" w:ascii="仿宋_GB2312" w:hAnsi="仿宋_GB2312" w:eastAsia="仿宋_GB2312" w:cs="仿宋_GB2312"/>
          <w:b/>
          <w:bCs/>
          <w:kern w:val="2"/>
          <w:sz w:val="32"/>
          <w:szCs w:val="32"/>
          <w:lang w:val="zh-CN"/>
        </w:rPr>
        <w:t>二是</w:t>
      </w:r>
      <w:r>
        <w:rPr>
          <w:rFonts w:hint="eastAsia" w:ascii="仿宋_GB2312" w:hAnsi="仿宋_GB2312" w:eastAsia="仿宋_GB2312" w:cs="仿宋_GB2312"/>
          <w:kern w:val="2"/>
          <w:sz w:val="32"/>
          <w:szCs w:val="32"/>
          <w:lang w:val="zh-CN"/>
        </w:rPr>
        <w:t>森林督查情况，内容为国家林草局下发的森林资源小班变化数量。下一年度将与本年度森林资源情况进行对比分析，对森林资源数据指标出现非正常变动，尤其是出现负增长的情况，各县（区）总林长必须认真分析变动原因，提出解决办法和措施；森林督查情况为国家林草局下发的森林资源小班变化情况，各县（区）总林长督促认真核实，及时查处破坏森林资源案件。</w:t>
      </w:r>
    </w:p>
    <w:p w14:paraId="2D492F8A">
      <w:pPr>
        <w:pageBreakBefore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sz w:val="32"/>
          <w:szCs w:val="32"/>
          <w:lang w:val="zh-CN"/>
        </w:rPr>
      </w:pPr>
      <w:r>
        <w:rPr>
          <w:rFonts w:hint="eastAsia" w:ascii="楷体_GB2312" w:eastAsia="楷体_GB2312" w:cs="楷体_GB2312" w:hAnsiTheme="minorHAnsi"/>
          <w:b/>
          <w:bCs/>
          <w:sz w:val="32"/>
          <w:szCs w:val="32"/>
          <w:shd w:val="clear" w:color="auto" w:fill="FFFFFF"/>
          <w:lang w:val="zh-CN"/>
        </w:rPr>
        <w:t>护林员履职清单。</w:t>
      </w:r>
      <w:r>
        <w:rPr>
          <w:rFonts w:hint="eastAsia" w:ascii="仿宋_GB2312" w:hAnsi="仿宋_GB2312" w:eastAsia="仿宋_GB2312" w:cs="仿宋_GB2312"/>
          <w:sz w:val="32"/>
          <w:szCs w:val="32"/>
          <w:lang w:val="zh-CN"/>
        </w:rPr>
        <w:t>将森林和湿地等林业资源进行网格化划分，落实到具体每一位护林员，同时配发手机，安装巡护系统App，通过护林员的日常巡护，发现的问题和上报的事件，形成护林员履职清单，作为林长制绩效考核依据。</w:t>
      </w:r>
    </w:p>
    <w:p w14:paraId="083B219B">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黑体" w:hAnsi="黑体" w:eastAsia="黑体" w:cs="黑体"/>
          <w:b w:val="0"/>
          <w:bCs w:val="0"/>
          <w:sz w:val="32"/>
          <w:szCs w:val="32"/>
        </w:rPr>
      </w:pPr>
      <w:bookmarkStart w:id="210" w:name="_Toc17413"/>
      <w:bookmarkStart w:id="211" w:name="_Toc28164"/>
      <w:bookmarkStart w:id="212" w:name="_Toc6746"/>
      <w:bookmarkStart w:id="213" w:name="_Toc30798"/>
      <w:bookmarkStart w:id="214" w:name="_Toc17671"/>
      <w:bookmarkStart w:id="215" w:name="_Toc182"/>
      <w:bookmarkStart w:id="216" w:name="_Toc31502"/>
      <w:bookmarkStart w:id="217" w:name="_Toc12527"/>
      <w:bookmarkStart w:id="218" w:name="_Toc20991"/>
      <w:r>
        <w:rPr>
          <w:rFonts w:hint="eastAsia" w:ascii="黑体" w:hAnsi="黑体" w:eastAsia="黑体" w:cs="黑体"/>
          <w:b w:val="0"/>
          <w:bCs w:val="0"/>
          <w:sz w:val="32"/>
          <w:szCs w:val="32"/>
        </w:rPr>
        <w:t>二、资金投入保障</w:t>
      </w:r>
      <w:bookmarkEnd w:id="210"/>
      <w:bookmarkEnd w:id="211"/>
      <w:bookmarkEnd w:id="212"/>
      <w:bookmarkEnd w:id="213"/>
      <w:bookmarkEnd w:id="214"/>
      <w:bookmarkEnd w:id="215"/>
      <w:bookmarkEnd w:id="216"/>
      <w:bookmarkEnd w:id="217"/>
      <w:bookmarkEnd w:id="218"/>
    </w:p>
    <w:p w14:paraId="58D76703">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坚持政府主导，发挥市场作用，积极探索发展绿色金融，制定开发鼓励政策，落实财政扶持政策，多渠道筹集资金。鼓励银行业金融机构优化金融产品与服务方式创新，适当延长贷款期限，合理确定评估价值、抵押率、贷款的最高额度和最低利率，设立林业金融服务绿色通道，简化办贷流程，提高办贷效率。积极鼓励引导金融机构开发适合国有林场特点的金融产品，探索通过发行债券、设立专项基金、开展碳汇交易等方式筹集资金，吸引社会资本参与国有林场建设发展，切实增加国有林场发展动能。加大对林业产业化龙头企业、家庭林场、专业大户和农民林业专业合作社等新型农业经营主体的信贷支持力度。强化银林合作，积极推广应用“皖林邮贷通”和“五绿兴林·劝耕贷”，争取金融机构加大对林下经济扶持力度。</w:t>
      </w:r>
    </w:p>
    <w:p w14:paraId="232B0B62">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顺应农村“三变”改革需要，推广林权按揭贷款、林权直接抵押贷款、公益林补偿收益权质押融资贷款、林权反担保抵押贷款和“林权﹢林权收储﹢森林保险”贷款等林权抵押贷款模式，引导降低综合信贷成本。建立林权抵押价值评估制度，实行抵押林权资产价值评估分类管理。支持林业经营主体以林权证抵押融资，盘活林地上的林木及其他附着物资产。支持江南林业产权交易所开展林权抵押收储担保业务，有条件的区县可以建立政策性林权收储担保机构。</w:t>
      </w:r>
    </w:p>
    <w:p w14:paraId="61513979">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黑体" w:hAnsi="黑体" w:eastAsia="黑体" w:cs="黑体"/>
          <w:b w:val="0"/>
          <w:bCs w:val="0"/>
          <w:sz w:val="32"/>
          <w:szCs w:val="32"/>
        </w:rPr>
      </w:pPr>
      <w:bookmarkStart w:id="219" w:name="_Toc18753"/>
      <w:bookmarkStart w:id="220" w:name="_Toc7022"/>
      <w:bookmarkStart w:id="221" w:name="_Toc15063"/>
      <w:bookmarkStart w:id="222" w:name="_Toc7135"/>
      <w:bookmarkStart w:id="223" w:name="_Toc5087"/>
      <w:bookmarkStart w:id="224" w:name="_Toc22560"/>
      <w:bookmarkStart w:id="225" w:name="_Toc3020"/>
      <w:bookmarkStart w:id="226" w:name="_Toc22519"/>
      <w:bookmarkStart w:id="227" w:name="_Toc8880"/>
      <w:r>
        <w:rPr>
          <w:rFonts w:hint="eastAsia" w:ascii="黑体" w:hAnsi="黑体" w:eastAsia="黑体" w:cs="黑体"/>
          <w:b w:val="0"/>
          <w:bCs w:val="0"/>
          <w:sz w:val="32"/>
          <w:szCs w:val="32"/>
        </w:rPr>
        <w:t>三、科技支撑保障</w:t>
      </w:r>
      <w:bookmarkEnd w:id="219"/>
      <w:bookmarkEnd w:id="220"/>
      <w:bookmarkEnd w:id="221"/>
      <w:bookmarkEnd w:id="222"/>
      <w:bookmarkEnd w:id="223"/>
      <w:bookmarkEnd w:id="224"/>
      <w:bookmarkEnd w:id="225"/>
      <w:bookmarkEnd w:id="226"/>
      <w:bookmarkEnd w:id="227"/>
    </w:p>
    <w:p w14:paraId="054A1F02">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建立健全市县乡</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zh-CN"/>
        </w:rPr>
        <w:t>三级林业科技推广服务体系，增加对林业科技投入，加大先进林业技术的推广应用，促进林业科技成果转化。加快构建专业合作组织平台，使其与林农建立合作与指导关系，引进专业的林业生产技术应用人才，对林农的生产进行指导。</w:t>
      </w:r>
    </w:p>
    <w:p w14:paraId="0746E0BF">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制定林业相关配套政策，通过相关政策支持来规避林业技术创新项目的高风险，建立完善的林业科技创新成果管理体系，提供必要的资金支持。通过银行贷款、风险投资、国外资金注入等手段筹集资金，争取相应税收减免，为林业提供多途径资金保证。</w:t>
      </w:r>
    </w:p>
    <w:p w14:paraId="14335669">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进一步完善林业标准化体系，扩大林业标准的覆盖面，加强林木种苗、新品种培育、有害生物防治、经济林、森林资源保护及功能质量、森林可持续经营、信息化、林产品质量安全等方面标准体系建设。</w:t>
      </w:r>
    </w:p>
    <w:p w14:paraId="5284B105">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黑体" w:hAnsi="黑体" w:eastAsia="黑体" w:cs="黑体"/>
          <w:b w:val="0"/>
          <w:bCs w:val="0"/>
          <w:sz w:val="32"/>
          <w:szCs w:val="32"/>
        </w:rPr>
      </w:pPr>
      <w:bookmarkStart w:id="228" w:name="_Toc1287"/>
      <w:bookmarkStart w:id="229" w:name="_Toc2107"/>
      <w:bookmarkStart w:id="230" w:name="_Toc26957"/>
      <w:bookmarkStart w:id="231" w:name="_Toc27005"/>
      <w:bookmarkStart w:id="232" w:name="_Toc13954"/>
      <w:bookmarkStart w:id="233" w:name="_Toc24781"/>
      <w:bookmarkStart w:id="234" w:name="_Toc21760"/>
      <w:bookmarkStart w:id="235" w:name="_Toc4144"/>
      <w:bookmarkStart w:id="236" w:name="_Toc10341"/>
      <w:r>
        <w:rPr>
          <w:rFonts w:hint="eastAsia" w:ascii="黑体" w:hAnsi="黑体" w:eastAsia="黑体" w:cs="黑体"/>
          <w:b w:val="0"/>
          <w:bCs w:val="0"/>
          <w:sz w:val="32"/>
          <w:szCs w:val="32"/>
        </w:rPr>
        <w:t>四、人才资源保障</w:t>
      </w:r>
      <w:bookmarkEnd w:id="228"/>
      <w:bookmarkEnd w:id="229"/>
      <w:bookmarkEnd w:id="230"/>
      <w:bookmarkEnd w:id="231"/>
      <w:bookmarkEnd w:id="232"/>
      <w:bookmarkEnd w:id="233"/>
      <w:bookmarkEnd w:id="234"/>
      <w:bookmarkEnd w:id="235"/>
      <w:bookmarkEnd w:id="236"/>
    </w:p>
    <w:p w14:paraId="6CF4D172">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党的政治建设为统领，严格落实意识形态工作责任制，加强基层党组织标准化规范化建设。按照好干部标准选人用人，加快建设一支高素质专业化林业干部队伍。加强林业站基层人才队伍建设，提升基层林业站工作人员的综合素养，稳定基层林业人才队伍。多渠道引进高水平专业技术和经营管理人才，完善各类人才聘用和管理机制，每年吸收一批林业专业大学本科以上毕业生充实林业基本队伍，逐步提高林业队伍整体素质，为林业的快速健康发展提供人才保障。</w:t>
      </w:r>
    </w:p>
    <w:p w14:paraId="7194363B">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加大职工队伍培训和再教育力度，抓好现有人才知识更新，建立健全人才培训机制，加强国有林场现有人员培养，积极选派国有林场业务骨干到上级林业主管部门或发达地区挂职锻炼，提升人才综合素质。进一步完善人才选拔、管理机制，通过岗位培训、继续教育、成人教育等形式不断提高林业从业人员的业务技能和整体素质，努力建设一支懂建设、善管理的人才队伍。</w:t>
      </w:r>
    </w:p>
    <w:p w14:paraId="1CC12690">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黑体" w:hAnsi="黑体" w:eastAsia="黑体" w:cs="黑体"/>
          <w:b w:val="0"/>
          <w:bCs w:val="0"/>
          <w:sz w:val="32"/>
          <w:szCs w:val="32"/>
        </w:rPr>
      </w:pPr>
      <w:bookmarkStart w:id="237" w:name="_Toc15309"/>
      <w:bookmarkStart w:id="238" w:name="_Toc13755"/>
      <w:bookmarkStart w:id="239" w:name="_Toc29447"/>
      <w:bookmarkStart w:id="240" w:name="_Toc9370"/>
      <w:bookmarkStart w:id="241" w:name="_Toc5139"/>
      <w:bookmarkStart w:id="242" w:name="_Toc5777"/>
      <w:bookmarkStart w:id="243" w:name="_Toc3987"/>
      <w:bookmarkStart w:id="244" w:name="_Toc18731"/>
      <w:bookmarkStart w:id="245" w:name="_Toc12593"/>
      <w:r>
        <w:rPr>
          <w:rFonts w:hint="eastAsia" w:ascii="黑体" w:hAnsi="黑体" w:eastAsia="黑体" w:cs="黑体"/>
          <w:b w:val="0"/>
          <w:bCs w:val="0"/>
          <w:sz w:val="32"/>
          <w:szCs w:val="32"/>
        </w:rPr>
        <w:t>五、林业法治保障</w:t>
      </w:r>
      <w:bookmarkEnd w:id="237"/>
      <w:bookmarkEnd w:id="238"/>
      <w:bookmarkEnd w:id="239"/>
      <w:bookmarkEnd w:id="240"/>
      <w:bookmarkEnd w:id="241"/>
      <w:bookmarkEnd w:id="242"/>
      <w:bookmarkEnd w:id="243"/>
      <w:bookmarkEnd w:id="244"/>
      <w:bookmarkEnd w:id="245"/>
    </w:p>
    <w:p w14:paraId="3FA532BA">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全面加强林业执法，按照新修订森林法有关林业行政执法的要求，进一步加强林业执法机构和队伍建设，组织林业执法人员积极参加林业法律知识等业务培训，及时更新业务知识，提升执法能力和素质，促进林业执法规范化、专业化。全面推行行政执法公示、执法全过程记录、重大执法决定法制审核“三项制度”，进一步规范林业行政执法行为。</w:t>
      </w:r>
    </w:p>
    <w:p w14:paraId="6025C8BC">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zh-CN"/>
        </w:rPr>
        <w:t>重点加强森林、林地、野生动植物和湿地资源保护，严厉打击猎杀野生动物、乱采滥挖野生植物、非法使用林地、非法采伐林木等破坏森林资源的违法行为。健全责任机制，把“平安林区”创建工作纳入到市社会治安综合治理目标管理责任制范围，层层签订责任书，全市上下形成纵向到底、横向到边的“平安林区”创建工作责任机制。</w:t>
      </w:r>
    </w:p>
    <w:p w14:paraId="690DF06A">
      <w:pPr>
        <w:pStyle w:val="6"/>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黑体" w:hAnsi="黑体" w:eastAsia="黑体" w:cs="黑体"/>
          <w:b w:val="0"/>
          <w:bCs w:val="0"/>
          <w:sz w:val="32"/>
          <w:szCs w:val="32"/>
        </w:rPr>
      </w:pPr>
      <w:bookmarkStart w:id="246" w:name="_Toc16200"/>
      <w:bookmarkStart w:id="247" w:name="_Toc9434"/>
      <w:bookmarkStart w:id="248" w:name="_Toc10819"/>
      <w:bookmarkStart w:id="249" w:name="_Toc26568"/>
      <w:bookmarkStart w:id="250" w:name="_Toc17592"/>
      <w:bookmarkStart w:id="251" w:name="_Toc736"/>
      <w:bookmarkStart w:id="252" w:name="_Toc28472"/>
      <w:bookmarkStart w:id="253" w:name="_Toc19331"/>
      <w:bookmarkStart w:id="254" w:name="_Toc1328"/>
      <w:r>
        <w:rPr>
          <w:rFonts w:hint="eastAsia" w:ascii="黑体" w:hAnsi="黑体" w:eastAsia="黑体" w:cs="黑体"/>
          <w:b w:val="0"/>
          <w:bCs w:val="0"/>
          <w:sz w:val="32"/>
          <w:szCs w:val="32"/>
        </w:rPr>
        <w:t>六、宣传教育保障</w:t>
      </w:r>
      <w:bookmarkEnd w:id="246"/>
      <w:bookmarkEnd w:id="247"/>
      <w:bookmarkEnd w:id="248"/>
      <w:bookmarkEnd w:id="249"/>
      <w:bookmarkEnd w:id="250"/>
      <w:bookmarkEnd w:id="251"/>
      <w:bookmarkEnd w:id="252"/>
      <w:bookmarkEnd w:id="253"/>
      <w:bookmarkEnd w:id="254"/>
    </w:p>
    <w:p w14:paraId="7290F8EB">
      <w:pPr>
        <w:pStyle w:val="2"/>
        <w:pageBreakBefore w:val="0"/>
        <w:kinsoku/>
        <w:wordWrap/>
        <w:overflowPunct/>
        <w:topLinePunct w:val="0"/>
        <w:autoSpaceDE/>
        <w:autoSpaceDN/>
        <w:bidi w:val="0"/>
        <w:adjustRightInd/>
        <w:snapToGrid/>
        <w:spacing w:after="0" w:line="560" w:lineRule="exact"/>
        <w:ind w:left="0" w:leftChars="0"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充分利用各类宣传媒体，采取各种宣传形式，宣传党和国家对造林绿化的各项政策，宣传各类先进典型；大力弘扬塞罕坝精神，注重宣传林业系统先进人物和典型事例，引导党员干部职工把精气神凝聚到保生态、谋发展、干事业上来。加强生态文化基础设施建设，充分发挥自然公园、人民公园、小游园、各种纪念林、古树名木等在生态文明建设中的传播、教育功能，按规定建设一批生态文明教育示范基地。</w:t>
      </w:r>
    </w:p>
    <w:p w14:paraId="66AFE325">
      <w:pPr>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继续将3月和10月确定为全市森林防火集中宣传月，重点宣传《森林防火条例》、《安徽省森林防火办法》等法律法规和规章制度，进一步推进依法治火。综合运用广播、电视、报刊等传统媒体，以及手机短信、微博、微信等新媒体，发布推广森林火灾预防、扑救相关知识，扩大宣传面，提升宣传效果。突出春节、清明、冬至等传统节日，以及造林季节、农事用火高峰期，针对野外火源管理开展森林防火宣传，引导林区群众移风易俗、文明祭祀，依法、依规、科学用火。严格落实“谁执法、谁普法”的普法责任制，组织开展内容丰富、形式多样的宣传活动，推动林业法律知识进校园、进社区、进农村。积极更新宣传形式和手段，结合互联网时代新媒体的趋势，利用林业局微信公众号、抖音小视频等形式，重视普法宣传通俗易懂，大力进行林业普法宣传教育。</w:t>
      </w:r>
    </w:p>
    <w:p w14:paraId="2C6D0F63">
      <w:pPr>
        <w:pStyle w:val="2"/>
        <w:rPr>
          <w:rFonts w:hint="eastAsia"/>
        </w:rPr>
      </w:pPr>
    </w:p>
    <w:p w14:paraId="438BDAAB">
      <w:pPr>
        <w:pStyle w:val="18"/>
        <w:bidi w:val="0"/>
        <w:ind w:left="0" w:leftChars="0" w:firstLine="0" w:firstLineChars="0"/>
        <w:rPr>
          <w:rFonts w:hint="eastAsia"/>
        </w:rPr>
      </w:pPr>
    </w:p>
    <w:p w14:paraId="5DFE4D44">
      <w:pPr>
        <w:pStyle w:val="18"/>
        <w:bidi w:val="0"/>
        <w:ind w:left="0" w:leftChars="0" w:firstLine="0" w:firstLineChars="0"/>
        <w:rPr>
          <w:rFonts w:hint="eastAsia" w:eastAsia="微软雅黑"/>
          <w:lang w:eastAsia="zh-CN"/>
        </w:rPr>
      </w:pPr>
      <w:r>
        <w:rPr>
          <w:rFonts w:hint="eastAsia" w:eastAsia="微软雅黑"/>
          <w:lang w:eastAsia="zh-CN"/>
        </w:rPr>
        <w:drawing>
          <wp:inline distT="0" distB="0" distL="114300" distR="114300">
            <wp:extent cx="5260340" cy="3717290"/>
            <wp:effectExtent l="0" t="0" r="16510" b="16510"/>
            <wp:docPr id="2" name="图片 2" descr="01森林资源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森林资源分布图"/>
                    <pic:cNvPicPr>
                      <a:picLocks noChangeAspect="1"/>
                    </pic:cNvPicPr>
                  </pic:nvPicPr>
                  <pic:blipFill>
                    <a:blip r:embed="rId8"/>
                    <a:stretch>
                      <a:fillRect/>
                    </a:stretch>
                  </pic:blipFill>
                  <pic:spPr>
                    <a:xfrm>
                      <a:off x="0" y="0"/>
                      <a:ext cx="5260340" cy="3717290"/>
                    </a:xfrm>
                    <a:prstGeom prst="rect">
                      <a:avLst/>
                    </a:prstGeom>
                  </pic:spPr>
                </pic:pic>
              </a:graphicData>
            </a:graphic>
          </wp:inline>
        </w:drawing>
      </w:r>
    </w:p>
    <w:p w14:paraId="3533FE4E">
      <w:pPr>
        <w:pStyle w:val="18"/>
        <w:bidi w:val="0"/>
        <w:ind w:left="0" w:leftChars="0" w:firstLine="0" w:firstLineChars="0"/>
        <w:rPr>
          <w:rFonts w:hint="eastAsia" w:eastAsia="微软雅黑"/>
          <w:lang w:eastAsia="zh-CN"/>
        </w:rPr>
      </w:pPr>
      <w:r>
        <w:rPr>
          <w:rFonts w:hint="eastAsia" w:eastAsia="微软雅黑"/>
          <w:lang w:eastAsia="zh-CN"/>
        </w:rPr>
        <w:drawing>
          <wp:inline distT="0" distB="0" distL="114300" distR="114300">
            <wp:extent cx="5260340" cy="3717290"/>
            <wp:effectExtent l="0" t="0" r="16510" b="16510"/>
            <wp:docPr id="3" name="图片 3" descr="02森林质量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森林质量分布图"/>
                    <pic:cNvPicPr>
                      <a:picLocks noChangeAspect="1"/>
                    </pic:cNvPicPr>
                  </pic:nvPicPr>
                  <pic:blipFill>
                    <a:blip r:embed="rId9"/>
                    <a:stretch>
                      <a:fillRect/>
                    </a:stretch>
                  </pic:blipFill>
                  <pic:spPr>
                    <a:xfrm>
                      <a:off x="0" y="0"/>
                      <a:ext cx="5260340" cy="3717290"/>
                    </a:xfrm>
                    <a:prstGeom prst="rect">
                      <a:avLst/>
                    </a:prstGeom>
                  </pic:spPr>
                </pic:pic>
              </a:graphicData>
            </a:graphic>
          </wp:inline>
        </w:drawing>
      </w:r>
    </w:p>
    <w:p w14:paraId="27A22D28">
      <w:pPr>
        <w:pStyle w:val="18"/>
        <w:bidi w:val="0"/>
        <w:ind w:left="0" w:leftChars="0" w:firstLine="0" w:firstLineChars="0"/>
        <w:rPr>
          <w:rFonts w:hint="eastAsia" w:eastAsia="微软雅黑"/>
          <w:lang w:eastAsia="zh-CN"/>
        </w:rPr>
      </w:pPr>
    </w:p>
    <w:p w14:paraId="72AA5655">
      <w:pPr>
        <w:pStyle w:val="18"/>
        <w:bidi w:val="0"/>
        <w:ind w:left="0" w:leftChars="0" w:firstLine="0" w:firstLineChars="0"/>
        <w:rPr>
          <w:rFonts w:hint="eastAsia" w:eastAsia="微软雅黑"/>
          <w:lang w:eastAsia="zh-CN"/>
        </w:rPr>
      </w:pPr>
    </w:p>
    <w:p w14:paraId="7347789A">
      <w:pPr>
        <w:pStyle w:val="18"/>
        <w:bidi w:val="0"/>
        <w:ind w:left="0" w:leftChars="0" w:firstLine="0" w:firstLineChars="0"/>
        <w:rPr>
          <w:rFonts w:hint="eastAsia" w:eastAsia="微软雅黑"/>
          <w:lang w:eastAsia="zh-CN"/>
        </w:rPr>
      </w:pPr>
    </w:p>
    <w:p w14:paraId="18696146">
      <w:pPr>
        <w:pStyle w:val="18"/>
        <w:bidi w:val="0"/>
        <w:ind w:left="0" w:leftChars="0" w:firstLine="0" w:firstLineChars="0"/>
        <w:rPr>
          <w:rFonts w:hint="eastAsia" w:eastAsia="微软雅黑"/>
          <w:lang w:eastAsia="zh-CN"/>
        </w:rPr>
      </w:pPr>
      <w:r>
        <w:rPr>
          <w:rFonts w:hint="eastAsia" w:eastAsia="微软雅黑"/>
          <w:lang w:eastAsia="zh-CN"/>
        </w:rPr>
        <w:drawing>
          <wp:inline distT="0" distB="0" distL="114300" distR="114300">
            <wp:extent cx="5260340" cy="3717290"/>
            <wp:effectExtent l="0" t="0" r="16510" b="16510"/>
            <wp:docPr id="4" name="图片 4" descr="03松材线虫病靶向防控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3松材线虫病靶向防控区划图"/>
                    <pic:cNvPicPr>
                      <a:picLocks noChangeAspect="1"/>
                    </pic:cNvPicPr>
                  </pic:nvPicPr>
                  <pic:blipFill>
                    <a:blip r:embed="rId10"/>
                    <a:stretch>
                      <a:fillRect/>
                    </a:stretch>
                  </pic:blipFill>
                  <pic:spPr>
                    <a:xfrm>
                      <a:off x="0" y="0"/>
                      <a:ext cx="5260340" cy="3717290"/>
                    </a:xfrm>
                    <a:prstGeom prst="rect">
                      <a:avLst/>
                    </a:prstGeom>
                  </pic:spPr>
                </pic:pic>
              </a:graphicData>
            </a:graphic>
          </wp:inline>
        </w:drawing>
      </w:r>
    </w:p>
    <w:p w14:paraId="3F81C2F5">
      <w:pPr>
        <w:pStyle w:val="18"/>
        <w:bidi w:val="0"/>
        <w:ind w:left="0" w:leftChars="0" w:firstLine="0" w:firstLineChars="0"/>
        <w:rPr>
          <w:rFonts w:hint="eastAsia" w:eastAsia="微软雅黑"/>
          <w:lang w:eastAsia="zh-CN"/>
        </w:rPr>
      </w:pPr>
      <w:r>
        <w:rPr>
          <w:rFonts w:hint="eastAsia" w:eastAsia="微软雅黑"/>
          <w:lang w:eastAsia="zh-CN"/>
        </w:rPr>
        <w:drawing>
          <wp:inline distT="0" distB="0" distL="114300" distR="114300">
            <wp:extent cx="5260340" cy="3717290"/>
            <wp:effectExtent l="0" t="0" r="16510" b="16510"/>
            <wp:docPr id="5" name="图片 5" descr="04自然保护地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4自然保护地分布图"/>
                    <pic:cNvPicPr>
                      <a:picLocks noChangeAspect="1"/>
                    </pic:cNvPicPr>
                  </pic:nvPicPr>
                  <pic:blipFill>
                    <a:blip r:embed="rId11"/>
                    <a:stretch>
                      <a:fillRect/>
                    </a:stretch>
                  </pic:blipFill>
                  <pic:spPr>
                    <a:xfrm>
                      <a:off x="0" y="0"/>
                      <a:ext cx="5260340" cy="3717290"/>
                    </a:xfrm>
                    <a:prstGeom prst="rect">
                      <a:avLst/>
                    </a:prstGeom>
                  </pic:spPr>
                </pic:pic>
              </a:graphicData>
            </a:graphic>
          </wp:inline>
        </w:drawing>
      </w:r>
    </w:p>
    <w:sectPr>
      <w:footerReference r:id="rId6" w:type="default"/>
      <w:pgSz w:w="11906" w:h="16838"/>
      <w:pgMar w:top="1440" w:right="1800" w:bottom="1440" w:left="1814"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DejaVu Sans">
    <w:altName w:val="Segoe Print"/>
    <w:panose1 w:val="020B0603030804020204"/>
    <w:charset w:val="00"/>
    <w:family w:val="moder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B559">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86B04">
                          <w:pPr>
                            <w:pStyle w:val="13"/>
                            <w:ind w:firstLine="36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286B04">
                    <w:pPr>
                      <w:pStyle w:val="13"/>
                      <w:ind w:firstLine="36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1002">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5CCA7">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915CCA7">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3E402"/>
    <w:multiLevelType w:val="singleLevel"/>
    <w:tmpl w:val="A4E3E402"/>
    <w:lvl w:ilvl="0" w:tentative="0">
      <w:start w:val="1"/>
      <w:numFmt w:val="chineseCounting"/>
      <w:suff w:val="space"/>
      <w:lvlText w:val="第%1章"/>
      <w:lvlJc w:val="left"/>
      <w:rPr>
        <w:rFonts w:hint="eastAsia" w:ascii="方正小标宋简体" w:hAnsi="方正小标宋简体" w:eastAsia="方正小标宋简体" w:cs="方正小标宋简体"/>
        <w:b w:val="0"/>
        <w:bCs w:val="0"/>
        <w:sz w:val="44"/>
        <w:szCs w:val="44"/>
      </w:rPr>
    </w:lvl>
  </w:abstractNum>
  <w:abstractNum w:abstractNumId="1">
    <w:nsid w:val="A6A7FA6C"/>
    <w:multiLevelType w:val="singleLevel"/>
    <w:tmpl w:val="A6A7FA6C"/>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C0699DA2"/>
    <w:multiLevelType w:val="singleLevel"/>
    <w:tmpl w:val="C0699DA2"/>
    <w:lvl w:ilvl="0" w:tentative="0">
      <w:start w:val="3"/>
      <w:numFmt w:val="chineseCounting"/>
      <w:suff w:val="nothing"/>
      <w:lvlText w:val="%1、"/>
      <w:lvlJc w:val="left"/>
      <w:rPr>
        <w:rFonts w:hint="eastAsia"/>
      </w:rPr>
    </w:lvl>
  </w:abstractNum>
  <w:abstractNum w:abstractNumId="3">
    <w:nsid w:val="2354481E"/>
    <w:multiLevelType w:val="singleLevel"/>
    <w:tmpl w:val="2354481E"/>
    <w:lvl w:ilvl="0" w:tentative="0">
      <w:start w:val="1"/>
      <w:numFmt w:val="chineseCounting"/>
      <w:suff w:val="nothing"/>
      <w:lvlText w:val="%1、"/>
      <w:lvlJc w:val="left"/>
      <w:rPr>
        <w:rFonts w:hint="eastAsia" w:ascii="黑体" w:hAnsi="黑体" w:eastAsia="黑体" w:cs="黑体"/>
        <w:sz w:val="32"/>
        <w:szCs w:val="32"/>
      </w:rPr>
    </w:lvl>
  </w:abstractNum>
  <w:abstractNum w:abstractNumId="4">
    <w:nsid w:val="52176662"/>
    <w:multiLevelType w:val="singleLevel"/>
    <w:tmpl w:val="52176662"/>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WYwZGUwODJhYzhlNjgwYjlkZTdlYTcxMmFkNWIifQ=="/>
  </w:docVars>
  <w:rsids>
    <w:rsidRoot w:val="4C58761D"/>
    <w:rsid w:val="000321BA"/>
    <w:rsid w:val="0005204A"/>
    <w:rsid w:val="00054616"/>
    <w:rsid w:val="000913AD"/>
    <w:rsid w:val="001F48E8"/>
    <w:rsid w:val="00246FFC"/>
    <w:rsid w:val="00253C8B"/>
    <w:rsid w:val="00255D98"/>
    <w:rsid w:val="00307B68"/>
    <w:rsid w:val="003A1B55"/>
    <w:rsid w:val="003C6FE2"/>
    <w:rsid w:val="00462706"/>
    <w:rsid w:val="004D1327"/>
    <w:rsid w:val="0050293B"/>
    <w:rsid w:val="00516A64"/>
    <w:rsid w:val="00523CD4"/>
    <w:rsid w:val="00572AAF"/>
    <w:rsid w:val="00757B37"/>
    <w:rsid w:val="00763004"/>
    <w:rsid w:val="0076463F"/>
    <w:rsid w:val="008118D6"/>
    <w:rsid w:val="00893286"/>
    <w:rsid w:val="008B0401"/>
    <w:rsid w:val="0095472F"/>
    <w:rsid w:val="009A6E05"/>
    <w:rsid w:val="009E17D9"/>
    <w:rsid w:val="00A10C27"/>
    <w:rsid w:val="00A33384"/>
    <w:rsid w:val="00A933A1"/>
    <w:rsid w:val="00AB5A24"/>
    <w:rsid w:val="00AD36C0"/>
    <w:rsid w:val="00AD6013"/>
    <w:rsid w:val="00B33BB8"/>
    <w:rsid w:val="00CB7E4E"/>
    <w:rsid w:val="00D233C3"/>
    <w:rsid w:val="00D40F26"/>
    <w:rsid w:val="00D50C25"/>
    <w:rsid w:val="00DA680C"/>
    <w:rsid w:val="00EA399F"/>
    <w:rsid w:val="00FF3E5C"/>
    <w:rsid w:val="0100343C"/>
    <w:rsid w:val="01026D42"/>
    <w:rsid w:val="010A11D1"/>
    <w:rsid w:val="01244A57"/>
    <w:rsid w:val="012867CE"/>
    <w:rsid w:val="01336E30"/>
    <w:rsid w:val="01341B0C"/>
    <w:rsid w:val="01364E03"/>
    <w:rsid w:val="013C40EE"/>
    <w:rsid w:val="013D03AE"/>
    <w:rsid w:val="013E764F"/>
    <w:rsid w:val="01515D3B"/>
    <w:rsid w:val="015751F9"/>
    <w:rsid w:val="015D4FA6"/>
    <w:rsid w:val="01614198"/>
    <w:rsid w:val="0166268E"/>
    <w:rsid w:val="016E3CDB"/>
    <w:rsid w:val="01966DAE"/>
    <w:rsid w:val="01996F25"/>
    <w:rsid w:val="0199756B"/>
    <w:rsid w:val="019A73DE"/>
    <w:rsid w:val="01A009D4"/>
    <w:rsid w:val="01B22E97"/>
    <w:rsid w:val="01C04888"/>
    <w:rsid w:val="01C84BA5"/>
    <w:rsid w:val="01C90F65"/>
    <w:rsid w:val="01CC308A"/>
    <w:rsid w:val="01EA6D43"/>
    <w:rsid w:val="01F0287E"/>
    <w:rsid w:val="02074929"/>
    <w:rsid w:val="020A6894"/>
    <w:rsid w:val="021A1C21"/>
    <w:rsid w:val="021C01FA"/>
    <w:rsid w:val="021F6C45"/>
    <w:rsid w:val="022203D7"/>
    <w:rsid w:val="02325B54"/>
    <w:rsid w:val="0233556A"/>
    <w:rsid w:val="023454D8"/>
    <w:rsid w:val="023972C6"/>
    <w:rsid w:val="0240633E"/>
    <w:rsid w:val="02455752"/>
    <w:rsid w:val="024B3BAA"/>
    <w:rsid w:val="024D1862"/>
    <w:rsid w:val="025024F0"/>
    <w:rsid w:val="02503ED0"/>
    <w:rsid w:val="025175A3"/>
    <w:rsid w:val="02552715"/>
    <w:rsid w:val="025A6A5D"/>
    <w:rsid w:val="0264611C"/>
    <w:rsid w:val="02716882"/>
    <w:rsid w:val="0276785D"/>
    <w:rsid w:val="027700CC"/>
    <w:rsid w:val="027734AC"/>
    <w:rsid w:val="027D7A87"/>
    <w:rsid w:val="02831E61"/>
    <w:rsid w:val="02837687"/>
    <w:rsid w:val="02902B57"/>
    <w:rsid w:val="029930F7"/>
    <w:rsid w:val="02AA3D37"/>
    <w:rsid w:val="02C5512C"/>
    <w:rsid w:val="02C6068C"/>
    <w:rsid w:val="02C616F4"/>
    <w:rsid w:val="02CA0760"/>
    <w:rsid w:val="02CF1F6C"/>
    <w:rsid w:val="02DB2CFD"/>
    <w:rsid w:val="02DC5E25"/>
    <w:rsid w:val="02DD58C4"/>
    <w:rsid w:val="02E4449D"/>
    <w:rsid w:val="02E74B7C"/>
    <w:rsid w:val="02ED403C"/>
    <w:rsid w:val="02F02406"/>
    <w:rsid w:val="02F20649"/>
    <w:rsid w:val="02F76308"/>
    <w:rsid w:val="0302627A"/>
    <w:rsid w:val="03120EC0"/>
    <w:rsid w:val="032B09E8"/>
    <w:rsid w:val="033026ED"/>
    <w:rsid w:val="03493C70"/>
    <w:rsid w:val="035D264C"/>
    <w:rsid w:val="036626CD"/>
    <w:rsid w:val="036C081E"/>
    <w:rsid w:val="036D7BB4"/>
    <w:rsid w:val="03764AAF"/>
    <w:rsid w:val="037E7EAF"/>
    <w:rsid w:val="0384341A"/>
    <w:rsid w:val="03844E63"/>
    <w:rsid w:val="038A50BB"/>
    <w:rsid w:val="03903F79"/>
    <w:rsid w:val="03A2384C"/>
    <w:rsid w:val="03B92498"/>
    <w:rsid w:val="03BF6EB9"/>
    <w:rsid w:val="03D27C8B"/>
    <w:rsid w:val="03DA2EDA"/>
    <w:rsid w:val="03DE7603"/>
    <w:rsid w:val="03E6442E"/>
    <w:rsid w:val="03F3330A"/>
    <w:rsid w:val="03FB3CCF"/>
    <w:rsid w:val="03FB5FED"/>
    <w:rsid w:val="0412084D"/>
    <w:rsid w:val="042C6418"/>
    <w:rsid w:val="043945E5"/>
    <w:rsid w:val="043B10FF"/>
    <w:rsid w:val="043D1C4E"/>
    <w:rsid w:val="044431A7"/>
    <w:rsid w:val="044C0A09"/>
    <w:rsid w:val="044E2ECD"/>
    <w:rsid w:val="04527D31"/>
    <w:rsid w:val="0463478A"/>
    <w:rsid w:val="046C15F5"/>
    <w:rsid w:val="04844B86"/>
    <w:rsid w:val="04932EE1"/>
    <w:rsid w:val="04A97378"/>
    <w:rsid w:val="04D4576F"/>
    <w:rsid w:val="04E47025"/>
    <w:rsid w:val="04E8736E"/>
    <w:rsid w:val="05023CB9"/>
    <w:rsid w:val="05093506"/>
    <w:rsid w:val="05136319"/>
    <w:rsid w:val="051A028D"/>
    <w:rsid w:val="052C71CB"/>
    <w:rsid w:val="052F5C5E"/>
    <w:rsid w:val="053D4780"/>
    <w:rsid w:val="054A285C"/>
    <w:rsid w:val="055E6930"/>
    <w:rsid w:val="056326BB"/>
    <w:rsid w:val="056F2F07"/>
    <w:rsid w:val="05792F71"/>
    <w:rsid w:val="057C3531"/>
    <w:rsid w:val="057E0066"/>
    <w:rsid w:val="058A1E25"/>
    <w:rsid w:val="05933502"/>
    <w:rsid w:val="05986FF1"/>
    <w:rsid w:val="059F14B7"/>
    <w:rsid w:val="05AD00E0"/>
    <w:rsid w:val="05B94D7E"/>
    <w:rsid w:val="05D171E7"/>
    <w:rsid w:val="05D51CDF"/>
    <w:rsid w:val="05D54C3C"/>
    <w:rsid w:val="05DE6939"/>
    <w:rsid w:val="05FF55D2"/>
    <w:rsid w:val="06000C6E"/>
    <w:rsid w:val="06061D39"/>
    <w:rsid w:val="060725E9"/>
    <w:rsid w:val="06214349"/>
    <w:rsid w:val="0626638B"/>
    <w:rsid w:val="06297222"/>
    <w:rsid w:val="063159D4"/>
    <w:rsid w:val="063808F8"/>
    <w:rsid w:val="063C4C13"/>
    <w:rsid w:val="06524668"/>
    <w:rsid w:val="06676694"/>
    <w:rsid w:val="06794DDC"/>
    <w:rsid w:val="067A2D41"/>
    <w:rsid w:val="067B0EF5"/>
    <w:rsid w:val="067C71D2"/>
    <w:rsid w:val="069B6D06"/>
    <w:rsid w:val="06A93AA2"/>
    <w:rsid w:val="06AA083A"/>
    <w:rsid w:val="06B37672"/>
    <w:rsid w:val="06B6518D"/>
    <w:rsid w:val="06BB6910"/>
    <w:rsid w:val="06BF6A8E"/>
    <w:rsid w:val="06F114E6"/>
    <w:rsid w:val="06F318B0"/>
    <w:rsid w:val="06FA091C"/>
    <w:rsid w:val="070F5305"/>
    <w:rsid w:val="071D1B31"/>
    <w:rsid w:val="07275498"/>
    <w:rsid w:val="073578A3"/>
    <w:rsid w:val="074003FA"/>
    <w:rsid w:val="07402010"/>
    <w:rsid w:val="074948FB"/>
    <w:rsid w:val="07513B39"/>
    <w:rsid w:val="07517352"/>
    <w:rsid w:val="07575DA4"/>
    <w:rsid w:val="075D4FDF"/>
    <w:rsid w:val="077D7B0E"/>
    <w:rsid w:val="078257E4"/>
    <w:rsid w:val="078401C8"/>
    <w:rsid w:val="07900766"/>
    <w:rsid w:val="07906394"/>
    <w:rsid w:val="079A222A"/>
    <w:rsid w:val="079D5135"/>
    <w:rsid w:val="07B66431"/>
    <w:rsid w:val="07BB6DF4"/>
    <w:rsid w:val="07D01DB5"/>
    <w:rsid w:val="07D21E7D"/>
    <w:rsid w:val="07D43D0D"/>
    <w:rsid w:val="07D629DB"/>
    <w:rsid w:val="07DC2B20"/>
    <w:rsid w:val="07E36BCF"/>
    <w:rsid w:val="07F34967"/>
    <w:rsid w:val="07FB7748"/>
    <w:rsid w:val="08023D98"/>
    <w:rsid w:val="08123241"/>
    <w:rsid w:val="08172D80"/>
    <w:rsid w:val="081C6FED"/>
    <w:rsid w:val="081F042B"/>
    <w:rsid w:val="082B596F"/>
    <w:rsid w:val="083B7CAB"/>
    <w:rsid w:val="08437BC2"/>
    <w:rsid w:val="085A7EE9"/>
    <w:rsid w:val="086A61C2"/>
    <w:rsid w:val="08773AD6"/>
    <w:rsid w:val="08795ED7"/>
    <w:rsid w:val="087A24D2"/>
    <w:rsid w:val="087D48E2"/>
    <w:rsid w:val="088622B0"/>
    <w:rsid w:val="088B22C8"/>
    <w:rsid w:val="08A168B6"/>
    <w:rsid w:val="08A579BA"/>
    <w:rsid w:val="08B95CC7"/>
    <w:rsid w:val="08BB5555"/>
    <w:rsid w:val="08BC6CFF"/>
    <w:rsid w:val="08BD6BD2"/>
    <w:rsid w:val="08C807B3"/>
    <w:rsid w:val="08D13EA4"/>
    <w:rsid w:val="08D2634C"/>
    <w:rsid w:val="08D60595"/>
    <w:rsid w:val="08D61433"/>
    <w:rsid w:val="08DF6D8F"/>
    <w:rsid w:val="08E702F6"/>
    <w:rsid w:val="08F7554D"/>
    <w:rsid w:val="09065C8D"/>
    <w:rsid w:val="090C01FD"/>
    <w:rsid w:val="09135F94"/>
    <w:rsid w:val="0916075F"/>
    <w:rsid w:val="091C2698"/>
    <w:rsid w:val="092B40FA"/>
    <w:rsid w:val="092C3913"/>
    <w:rsid w:val="092E0C24"/>
    <w:rsid w:val="09334E62"/>
    <w:rsid w:val="093A041D"/>
    <w:rsid w:val="093D5BF0"/>
    <w:rsid w:val="094430C2"/>
    <w:rsid w:val="095B6F8A"/>
    <w:rsid w:val="095E51DB"/>
    <w:rsid w:val="095F7100"/>
    <w:rsid w:val="09660E9C"/>
    <w:rsid w:val="09677A80"/>
    <w:rsid w:val="097430E9"/>
    <w:rsid w:val="097E424F"/>
    <w:rsid w:val="09813208"/>
    <w:rsid w:val="09924D23"/>
    <w:rsid w:val="0996776C"/>
    <w:rsid w:val="09BF3623"/>
    <w:rsid w:val="09CC6184"/>
    <w:rsid w:val="09DB32C2"/>
    <w:rsid w:val="09E148B0"/>
    <w:rsid w:val="09E23791"/>
    <w:rsid w:val="09E86676"/>
    <w:rsid w:val="09FC62D0"/>
    <w:rsid w:val="09FF3683"/>
    <w:rsid w:val="0A0E3F3D"/>
    <w:rsid w:val="0A126250"/>
    <w:rsid w:val="0A2A0EAE"/>
    <w:rsid w:val="0A2A4573"/>
    <w:rsid w:val="0A3B410B"/>
    <w:rsid w:val="0A482F82"/>
    <w:rsid w:val="0A4A51CC"/>
    <w:rsid w:val="0A547ED2"/>
    <w:rsid w:val="0A5A1F7D"/>
    <w:rsid w:val="0A5C5193"/>
    <w:rsid w:val="0A613237"/>
    <w:rsid w:val="0A613430"/>
    <w:rsid w:val="0A672C79"/>
    <w:rsid w:val="0A6B0F01"/>
    <w:rsid w:val="0A8551DB"/>
    <w:rsid w:val="0A9502B8"/>
    <w:rsid w:val="0AB15C77"/>
    <w:rsid w:val="0AB64D93"/>
    <w:rsid w:val="0ABA5FEE"/>
    <w:rsid w:val="0ABD4ED9"/>
    <w:rsid w:val="0AC632B5"/>
    <w:rsid w:val="0AE22454"/>
    <w:rsid w:val="0AF46ADD"/>
    <w:rsid w:val="0B081D83"/>
    <w:rsid w:val="0B086D3A"/>
    <w:rsid w:val="0B0C3EC0"/>
    <w:rsid w:val="0B25442D"/>
    <w:rsid w:val="0B3816EC"/>
    <w:rsid w:val="0B3D72A1"/>
    <w:rsid w:val="0B4A4C97"/>
    <w:rsid w:val="0B4F180B"/>
    <w:rsid w:val="0B773686"/>
    <w:rsid w:val="0B7D35DA"/>
    <w:rsid w:val="0B8C27C0"/>
    <w:rsid w:val="0B901439"/>
    <w:rsid w:val="0B902F25"/>
    <w:rsid w:val="0B913E20"/>
    <w:rsid w:val="0B985B9C"/>
    <w:rsid w:val="0BA76C70"/>
    <w:rsid w:val="0BA82483"/>
    <w:rsid w:val="0BA91D74"/>
    <w:rsid w:val="0BAB5333"/>
    <w:rsid w:val="0BB4105B"/>
    <w:rsid w:val="0BB84944"/>
    <w:rsid w:val="0BB857D0"/>
    <w:rsid w:val="0BBF1EB8"/>
    <w:rsid w:val="0BC76985"/>
    <w:rsid w:val="0BCE441D"/>
    <w:rsid w:val="0BCE699B"/>
    <w:rsid w:val="0BF003A3"/>
    <w:rsid w:val="0BF0279E"/>
    <w:rsid w:val="0BF6111F"/>
    <w:rsid w:val="0BFA4A3A"/>
    <w:rsid w:val="0BFF5CF0"/>
    <w:rsid w:val="0C082887"/>
    <w:rsid w:val="0C0D57F5"/>
    <w:rsid w:val="0C195478"/>
    <w:rsid w:val="0C1C7569"/>
    <w:rsid w:val="0C1E30F7"/>
    <w:rsid w:val="0C1E7E89"/>
    <w:rsid w:val="0C3B0B37"/>
    <w:rsid w:val="0C47502D"/>
    <w:rsid w:val="0C4D51B7"/>
    <w:rsid w:val="0C4D6DD7"/>
    <w:rsid w:val="0C683294"/>
    <w:rsid w:val="0C6B2CC1"/>
    <w:rsid w:val="0C6C5839"/>
    <w:rsid w:val="0C6E5BC0"/>
    <w:rsid w:val="0C75064C"/>
    <w:rsid w:val="0C7565A8"/>
    <w:rsid w:val="0C78388E"/>
    <w:rsid w:val="0C79674E"/>
    <w:rsid w:val="0C7D2BDE"/>
    <w:rsid w:val="0C86184A"/>
    <w:rsid w:val="0C8958D9"/>
    <w:rsid w:val="0C902AF3"/>
    <w:rsid w:val="0C980567"/>
    <w:rsid w:val="0C9C460A"/>
    <w:rsid w:val="0CB750A6"/>
    <w:rsid w:val="0CBB7BE3"/>
    <w:rsid w:val="0CC352D3"/>
    <w:rsid w:val="0CC909E1"/>
    <w:rsid w:val="0CD02045"/>
    <w:rsid w:val="0CDF0D4D"/>
    <w:rsid w:val="0CE47F05"/>
    <w:rsid w:val="0CF159DC"/>
    <w:rsid w:val="0CF72123"/>
    <w:rsid w:val="0D066FC6"/>
    <w:rsid w:val="0D0E3876"/>
    <w:rsid w:val="0D102250"/>
    <w:rsid w:val="0D23160B"/>
    <w:rsid w:val="0D2325AE"/>
    <w:rsid w:val="0D314957"/>
    <w:rsid w:val="0D3160A9"/>
    <w:rsid w:val="0D3B6D0E"/>
    <w:rsid w:val="0D430221"/>
    <w:rsid w:val="0D494EF6"/>
    <w:rsid w:val="0D575E14"/>
    <w:rsid w:val="0D5A5AA7"/>
    <w:rsid w:val="0D5B65D7"/>
    <w:rsid w:val="0D646FD0"/>
    <w:rsid w:val="0D6557BD"/>
    <w:rsid w:val="0D665631"/>
    <w:rsid w:val="0D76753D"/>
    <w:rsid w:val="0D907DFC"/>
    <w:rsid w:val="0D925A62"/>
    <w:rsid w:val="0D95484E"/>
    <w:rsid w:val="0DA05022"/>
    <w:rsid w:val="0DA56F2E"/>
    <w:rsid w:val="0DB83BA9"/>
    <w:rsid w:val="0DDC5B04"/>
    <w:rsid w:val="0DE0509E"/>
    <w:rsid w:val="0DEC64E9"/>
    <w:rsid w:val="0DEF3921"/>
    <w:rsid w:val="0DF206EC"/>
    <w:rsid w:val="0DF37977"/>
    <w:rsid w:val="0DFA41A0"/>
    <w:rsid w:val="0E0453D8"/>
    <w:rsid w:val="0E08592D"/>
    <w:rsid w:val="0E2F598F"/>
    <w:rsid w:val="0E3040AB"/>
    <w:rsid w:val="0E356BE9"/>
    <w:rsid w:val="0E4066A0"/>
    <w:rsid w:val="0E467F26"/>
    <w:rsid w:val="0E48651E"/>
    <w:rsid w:val="0E4A2DBE"/>
    <w:rsid w:val="0E4A4D48"/>
    <w:rsid w:val="0E4B0F59"/>
    <w:rsid w:val="0E4B1576"/>
    <w:rsid w:val="0E52068E"/>
    <w:rsid w:val="0E622648"/>
    <w:rsid w:val="0E6759D2"/>
    <w:rsid w:val="0E6F2543"/>
    <w:rsid w:val="0E70738E"/>
    <w:rsid w:val="0E783DDD"/>
    <w:rsid w:val="0E7F46D3"/>
    <w:rsid w:val="0E7F6C9F"/>
    <w:rsid w:val="0E862CBC"/>
    <w:rsid w:val="0EA81966"/>
    <w:rsid w:val="0EC17F48"/>
    <w:rsid w:val="0ED34542"/>
    <w:rsid w:val="0EE7736D"/>
    <w:rsid w:val="0EEC54CE"/>
    <w:rsid w:val="0EFB2E84"/>
    <w:rsid w:val="0EFD4B55"/>
    <w:rsid w:val="0F1666A4"/>
    <w:rsid w:val="0F256C78"/>
    <w:rsid w:val="0F275DBA"/>
    <w:rsid w:val="0F42169B"/>
    <w:rsid w:val="0F4B3FBB"/>
    <w:rsid w:val="0F5D3A5A"/>
    <w:rsid w:val="0F6E4B22"/>
    <w:rsid w:val="0F737623"/>
    <w:rsid w:val="0F840734"/>
    <w:rsid w:val="0F856B66"/>
    <w:rsid w:val="0F866955"/>
    <w:rsid w:val="0F8B64BA"/>
    <w:rsid w:val="0F913812"/>
    <w:rsid w:val="0F9D0FD6"/>
    <w:rsid w:val="0FA0390C"/>
    <w:rsid w:val="0FA96116"/>
    <w:rsid w:val="0FB775B8"/>
    <w:rsid w:val="0FCB56CA"/>
    <w:rsid w:val="0FDE5B7F"/>
    <w:rsid w:val="0FF74CD8"/>
    <w:rsid w:val="0FFA724C"/>
    <w:rsid w:val="0FFF7074"/>
    <w:rsid w:val="100B2E03"/>
    <w:rsid w:val="101A0F59"/>
    <w:rsid w:val="101F4C80"/>
    <w:rsid w:val="10223FCA"/>
    <w:rsid w:val="102D3D3B"/>
    <w:rsid w:val="103E3062"/>
    <w:rsid w:val="1041076A"/>
    <w:rsid w:val="104456B8"/>
    <w:rsid w:val="10486CEF"/>
    <w:rsid w:val="1049164C"/>
    <w:rsid w:val="105569BB"/>
    <w:rsid w:val="105676BB"/>
    <w:rsid w:val="105703DE"/>
    <w:rsid w:val="105A4F40"/>
    <w:rsid w:val="1065023D"/>
    <w:rsid w:val="10672CAC"/>
    <w:rsid w:val="106B2953"/>
    <w:rsid w:val="106D36EE"/>
    <w:rsid w:val="106F5DE2"/>
    <w:rsid w:val="1072290D"/>
    <w:rsid w:val="10775B31"/>
    <w:rsid w:val="107826B4"/>
    <w:rsid w:val="107C4A53"/>
    <w:rsid w:val="107D7CA1"/>
    <w:rsid w:val="10813EC1"/>
    <w:rsid w:val="10843E3F"/>
    <w:rsid w:val="108E79F4"/>
    <w:rsid w:val="1090350F"/>
    <w:rsid w:val="10905A53"/>
    <w:rsid w:val="109210EB"/>
    <w:rsid w:val="109375DE"/>
    <w:rsid w:val="10A83940"/>
    <w:rsid w:val="10A867D5"/>
    <w:rsid w:val="10B30A65"/>
    <w:rsid w:val="10BC021E"/>
    <w:rsid w:val="10BD5B43"/>
    <w:rsid w:val="10C10701"/>
    <w:rsid w:val="10C46153"/>
    <w:rsid w:val="10C85B57"/>
    <w:rsid w:val="10CB3CF9"/>
    <w:rsid w:val="10D22A0D"/>
    <w:rsid w:val="10D5164A"/>
    <w:rsid w:val="10D85867"/>
    <w:rsid w:val="10DF0D21"/>
    <w:rsid w:val="10E21CA9"/>
    <w:rsid w:val="10E77C9D"/>
    <w:rsid w:val="10EA3324"/>
    <w:rsid w:val="10EB1A49"/>
    <w:rsid w:val="10EC785D"/>
    <w:rsid w:val="10F81858"/>
    <w:rsid w:val="1105361D"/>
    <w:rsid w:val="11085A0A"/>
    <w:rsid w:val="11141995"/>
    <w:rsid w:val="111C6A5A"/>
    <w:rsid w:val="111F2400"/>
    <w:rsid w:val="112328D3"/>
    <w:rsid w:val="112F10E5"/>
    <w:rsid w:val="11444DD6"/>
    <w:rsid w:val="1149342E"/>
    <w:rsid w:val="114A2BBC"/>
    <w:rsid w:val="1160193A"/>
    <w:rsid w:val="11672AD6"/>
    <w:rsid w:val="116D57B8"/>
    <w:rsid w:val="11861431"/>
    <w:rsid w:val="119634E7"/>
    <w:rsid w:val="1198414F"/>
    <w:rsid w:val="11B314B2"/>
    <w:rsid w:val="11B81A4E"/>
    <w:rsid w:val="11C30FD1"/>
    <w:rsid w:val="11CC3396"/>
    <w:rsid w:val="11CC5FEF"/>
    <w:rsid w:val="11CF2543"/>
    <w:rsid w:val="11DE2C85"/>
    <w:rsid w:val="11E91C49"/>
    <w:rsid w:val="12022687"/>
    <w:rsid w:val="120609BB"/>
    <w:rsid w:val="120636C9"/>
    <w:rsid w:val="12075D54"/>
    <w:rsid w:val="122745D4"/>
    <w:rsid w:val="122907E8"/>
    <w:rsid w:val="12471B27"/>
    <w:rsid w:val="124A41A1"/>
    <w:rsid w:val="124C5C7A"/>
    <w:rsid w:val="12525B8B"/>
    <w:rsid w:val="126732E6"/>
    <w:rsid w:val="126B1301"/>
    <w:rsid w:val="127524E0"/>
    <w:rsid w:val="12787212"/>
    <w:rsid w:val="12851556"/>
    <w:rsid w:val="12891608"/>
    <w:rsid w:val="12913E1A"/>
    <w:rsid w:val="12915557"/>
    <w:rsid w:val="12960FB0"/>
    <w:rsid w:val="12964F9B"/>
    <w:rsid w:val="12A75853"/>
    <w:rsid w:val="12AC76DB"/>
    <w:rsid w:val="12B25054"/>
    <w:rsid w:val="12CA6FAC"/>
    <w:rsid w:val="12D9199D"/>
    <w:rsid w:val="12DD7443"/>
    <w:rsid w:val="12E17FE2"/>
    <w:rsid w:val="12EE4173"/>
    <w:rsid w:val="12F07B6B"/>
    <w:rsid w:val="12F73E23"/>
    <w:rsid w:val="13001CED"/>
    <w:rsid w:val="13023513"/>
    <w:rsid w:val="132D0E5A"/>
    <w:rsid w:val="133B7B83"/>
    <w:rsid w:val="133E6AFD"/>
    <w:rsid w:val="1351242E"/>
    <w:rsid w:val="136506B3"/>
    <w:rsid w:val="13651CFD"/>
    <w:rsid w:val="136E28AA"/>
    <w:rsid w:val="13777022"/>
    <w:rsid w:val="13803D21"/>
    <w:rsid w:val="13811F4B"/>
    <w:rsid w:val="13894EA8"/>
    <w:rsid w:val="1390782D"/>
    <w:rsid w:val="139264E2"/>
    <w:rsid w:val="13926F09"/>
    <w:rsid w:val="13937C0D"/>
    <w:rsid w:val="13AC0A8D"/>
    <w:rsid w:val="13AE048A"/>
    <w:rsid w:val="13B05100"/>
    <w:rsid w:val="13B63543"/>
    <w:rsid w:val="13BD16F5"/>
    <w:rsid w:val="13D77AB8"/>
    <w:rsid w:val="13D91B3E"/>
    <w:rsid w:val="13E21B2E"/>
    <w:rsid w:val="13E31963"/>
    <w:rsid w:val="13E43BF5"/>
    <w:rsid w:val="14035245"/>
    <w:rsid w:val="14084556"/>
    <w:rsid w:val="140A3172"/>
    <w:rsid w:val="1414152F"/>
    <w:rsid w:val="141C7BF7"/>
    <w:rsid w:val="141F29DE"/>
    <w:rsid w:val="1431794E"/>
    <w:rsid w:val="14366E3F"/>
    <w:rsid w:val="144A1D5A"/>
    <w:rsid w:val="14580E8A"/>
    <w:rsid w:val="14610D6C"/>
    <w:rsid w:val="14655169"/>
    <w:rsid w:val="14695F39"/>
    <w:rsid w:val="14735A6C"/>
    <w:rsid w:val="147929D1"/>
    <w:rsid w:val="14831B01"/>
    <w:rsid w:val="14937836"/>
    <w:rsid w:val="14955747"/>
    <w:rsid w:val="14A25FC7"/>
    <w:rsid w:val="14A70ACF"/>
    <w:rsid w:val="14A75395"/>
    <w:rsid w:val="14AB2894"/>
    <w:rsid w:val="14B82B0A"/>
    <w:rsid w:val="14C34EDF"/>
    <w:rsid w:val="14C40783"/>
    <w:rsid w:val="14CA4C66"/>
    <w:rsid w:val="14CE1B93"/>
    <w:rsid w:val="14D86883"/>
    <w:rsid w:val="14E26692"/>
    <w:rsid w:val="14F03EE3"/>
    <w:rsid w:val="14F44888"/>
    <w:rsid w:val="15021C32"/>
    <w:rsid w:val="15121095"/>
    <w:rsid w:val="151716B5"/>
    <w:rsid w:val="151E5F59"/>
    <w:rsid w:val="15227D4B"/>
    <w:rsid w:val="152D56B2"/>
    <w:rsid w:val="152F4F63"/>
    <w:rsid w:val="153114B8"/>
    <w:rsid w:val="153718BF"/>
    <w:rsid w:val="15392684"/>
    <w:rsid w:val="15400A18"/>
    <w:rsid w:val="155713D3"/>
    <w:rsid w:val="15572A1D"/>
    <w:rsid w:val="155E5F0F"/>
    <w:rsid w:val="157E637E"/>
    <w:rsid w:val="158253B4"/>
    <w:rsid w:val="158B7261"/>
    <w:rsid w:val="158E1D5E"/>
    <w:rsid w:val="15907EE8"/>
    <w:rsid w:val="159E7A89"/>
    <w:rsid w:val="15A12776"/>
    <w:rsid w:val="15BE67EA"/>
    <w:rsid w:val="15C61B85"/>
    <w:rsid w:val="15E80CE6"/>
    <w:rsid w:val="15F24345"/>
    <w:rsid w:val="15F44969"/>
    <w:rsid w:val="15F816A3"/>
    <w:rsid w:val="16000F05"/>
    <w:rsid w:val="16017277"/>
    <w:rsid w:val="160D2EBF"/>
    <w:rsid w:val="161226C3"/>
    <w:rsid w:val="16123D42"/>
    <w:rsid w:val="1612427A"/>
    <w:rsid w:val="161D698B"/>
    <w:rsid w:val="16216440"/>
    <w:rsid w:val="16240B68"/>
    <w:rsid w:val="162C5361"/>
    <w:rsid w:val="164019E1"/>
    <w:rsid w:val="16415457"/>
    <w:rsid w:val="165224E8"/>
    <w:rsid w:val="16561C24"/>
    <w:rsid w:val="16563D19"/>
    <w:rsid w:val="165B77F9"/>
    <w:rsid w:val="166250C2"/>
    <w:rsid w:val="166608D9"/>
    <w:rsid w:val="16740AE2"/>
    <w:rsid w:val="167D544D"/>
    <w:rsid w:val="1683756F"/>
    <w:rsid w:val="168466D9"/>
    <w:rsid w:val="169070D5"/>
    <w:rsid w:val="16944841"/>
    <w:rsid w:val="169C1F80"/>
    <w:rsid w:val="16A66B21"/>
    <w:rsid w:val="16B33FE0"/>
    <w:rsid w:val="16B51AA3"/>
    <w:rsid w:val="16C943B4"/>
    <w:rsid w:val="16D95FC6"/>
    <w:rsid w:val="16DA2B5A"/>
    <w:rsid w:val="16ED5061"/>
    <w:rsid w:val="16F269FC"/>
    <w:rsid w:val="17170F1F"/>
    <w:rsid w:val="17185285"/>
    <w:rsid w:val="171E0085"/>
    <w:rsid w:val="17280CE2"/>
    <w:rsid w:val="17301BCA"/>
    <w:rsid w:val="174B53EE"/>
    <w:rsid w:val="174E7F69"/>
    <w:rsid w:val="177246BD"/>
    <w:rsid w:val="17875196"/>
    <w:rsid w:val="179872B8"/>
    <w:rsid w:val="179A06EA"/>
    <w:rsid w:val="179B7A92"/>
    <w:rsid w:val="179C05C6"/>
    <w:rsid w:val="17AD08C0"/>
    <w:rsid w:val="17AE56E5"/>
    <w:rsid w:val="17B261A4"/>
    <w:rsid w:val="17B33B8E"/>
    <w:rsid w:val="17BF6E03"/>
    <w:rsid w:val="17CB02DF"/>
    <w:rsid w:val="17CE1CCE"/>
    <w:rsid w:val="17D673A8"/>
    <w:rsid w:val="17E230A0"/>
    <w:rsid w:val="18087B04"/>
    <w:rsid w:val="18101FE9"/>
    <w:rsid w:val="18116F51"/>
    <w:rsid w:val="181A40A2"/>
    <w:rsid w:val="18321DE6"/>
    <w:rsid w:val="18335A0B"/>
    <w:rsid w:val="183F461F"/>
    <w:rsid w:val="184034DB"/>
    <w:rsid w:val="18477D22"/>
    <w:rsid w:val="184C1EFF"/>
    <w:rsid w:val="18527085"/>
    <w:rsid w:val="18555CEE"/>
    <w:rsid w:val="1870376E"/>
    <w:rsid w:val="18715218"/>
    <w:rsid w:val="187666D7"/>
    <w:rsid w:val="18853141"/>
    <w:rsid w:val="188B6A23"/>
    <w:rsid w:val="188C5028"/>
    <w:rsid w:val="18AE0095"/>
    <w:rsid w:val="18B06149"/>
    <w:rsid w:val="18B3536C"/>
    <w:rsid w:val="18BB4D0D"/>
    <w:rsid w:val="18CB5437"/>
    <w:rsid w:val="18DA478E"/>
    <w:rsid w:val="18E13E18"/>
    <w:rsid w:val="18E248C8"/>
    <w:rsid w:val="18EC490F"/>
    <w:rsid w:val="18EF48CD"/>
    <w:rsid w:val="190816EE"/>
    <w:rsid w:val="190A11CB"/>
    <w:rsid w:val="192D7FD0"/>
    <w:rsid w:val="19345001"/>
    <w:rsid w:val="1938393B"/>
    <w:rsid w:val="19411A03"/>
    <w:rsid w:val="19426606"/>
    <w:rsid w:val="19446F76"/>
    <w:rsid w:val="194B53D3"/>
    <w:rsid w:val="1955681D"/>
    <w:rsid w:val="197130CB"/>
    <w:rsid w:val="197904F2"/>
    <w:rsid w:val="199F4BEC"/>
    <w:rsid w:val="19A23899"/>
    <w:rsid w:val="19A8701F"/>
    <w:rsid w:val="19B04243"/>
    <w:rsid w:val="19B40325"/>
    <w:rsid w:val="19BD0AFD"/>
    <w:rsid w:val="19DC0542"/>
    <w:rsid w:val="19E3341E"/>
    <w:rsid w:val="19E531D2"/>
    <w:rsid w:val="19E77A87"/>
    <w:rsid w:val="19EB1024"/>
    <w:rsid w:val="19EC0DA1"/>
    <w:rsid w:val="19F54CE7"/>
    <w:rsid w:val="1A046959"/>
    <w:rsid w:val="1A073AB2"/>
    <w:rsid w:val="1A21249B"/>
    <w:rsid w:val="1A240A4E"/>
    <w:rsid w:val="1A273BCE"/>
    <w:rsid w:val="1A336475"/>
    <w:rsid w:val="1A421E88"/>
    <w:rsid w:val="1A534E59"/>
    <w:rsid w:val="1A591343"/>
    <w:rsid w:val="1A5D5A2E"/>
    <w:rsid w:val="1A6411E8"/>
    <w:rsid w:val="1A6F6C63"/>
    <w:rsid w:val="1A7A605B"/>
    <w:rsid w:val="1A8B68F2"/>
    <w:rsid w:val="1A980AE4"/>
    <w:rsid w:val="1A9840C1"/>
    <w:rsid w:val="1A9C77CB"/>
    <w:rsid w:val="1AAF6940"/>
    <w:rsid w:val="1AB62D2F"/>
    <w:rsid w:val="1AD07AEE"/>
    <w:rsid w:val="1AD25989"/>
    <w:rsid w:val="1AD6283C"/>
    <w:rsid w:val="1ADA255F"/>
    <w:rsid w:val="1ADE1847"/>
    <w:rsid w:val="1ADE29F9"/>
    <w:rsid w:val="1AE26AE6"/>
    <w:rsid w:val="1AE43B4E"/>
    <w:rsid w:val="1AE55F8D"/>
    <w:rsid w:val="1AEB7738"/>
    <w:rsid w:val="1AF0397B"/>
    <w:rsid w:val="1AF60D04"/>
    <w:rsid w:val="1B036AA9"/>
    <w:rsid w:val="1B114C3A"/>
    <w:rsid w:val="1B151220"/>
    <w:rsid w:val="1B196141"/>
    <w:rsid w:val="1B202644"/>
    <w:rsid w:val="1B241F39"/>
    <w:rsid w:val="1B266D35"/>
    <w:rsid w:val="1B2B30B0"/>
    <w:rsid w:val="1B357C48"/>
    <w:rsid w:val="1B4024D9"/>
    <w:rsid w:val="1B461665"/>
    <w:rsid w:val="1B4802D8"/>
    <w:rsid w:val="1B577957"/>
    <w:rsid w:val="1B6B43C7"/>
    <w:rsid w:val="1B725AF6"/>
    <w:rsid w:val="1B815CB4"/>
    <w:rsid w:val="1B8D1CE0"/>
    <w:rsid w:val="1B975A49"/>
    <w:rsid w:val="1B99630B"/>
    <w:rsid w:val="1BA40B90"/>
    <w:rsid w:val="1BAD2C26"/>
    <w:rsid w:val="1BAF6FD9"/>
    <w:rsid w:val="1BBD34FC"/>
    <w:rsid w:val="1BC976DB"/>
    <w:rsid w:val="1BD67870"/>
    <w:rsid w:val="1BEC36E2"/>
    <w:rsid w:val="1BEC4696"/>
    <w:rsid w:val="1BF23A5D"/>
    <w:rsid w:val="1BF4681F"/>
    <w:rsid w:val="1BFD638F"/>
    <w:rsid w:val="1C024ED3"/>
    <w:rsid w:val="1C122F83"/>
    <w:rsid w:val="1C1450AB"/>
    <w:rsid w:val="1C1802D3"/>
    <w:rsid w:val="1C1E7677"/>
    <w:rsid w:val="1C3012EB"/>
    <w:rsid w:val="1C314414"/>
    <w:rsid w:val="1C3405AC"/>
    <w:rsid w:val="1C3A2E6D"/>
    <w:rsid w:val="1C504C99"/>
    <w:rsid w:val="1C5168B9"/>
    <w:rsid w:val="1C634902"/>
    <w:rsid w:val="1C772446"/>
    <w:rsid w:val="1C9530FB"/>
    <w:rsid w:val="1C9B1B8B"/>
    <w:rsid w:val="1CA359F3"/>
    <w:rsid w:val="1CA3605B"/>
    <w:rsid w:val="1CAD1759"/>
    <w:rsid w:val="1CDD4E0E"/>
    <w:rsid w:val="1CE50369"/>
    <w:rsid w:val="1CE66172"/>
    <w:rsid w:val="1CFF0A46"/>
    <w:rsid w:val="1D005A61"/>
    <w:rsid w:val="1D024BCB"/>
    <w:rsid w:val="1D082457"/>
    <w:rsid w:val="1D1D2A69"/>
    <w:rsid w:val="1D1E70C1"/>
    <w:rsid w:val="1D201E69"/>
    <w:rsid w:val="1D2C4964"/>
    <w:rsid w:val="1D3035CD"/>
    <w:rsid w:val="1D322007"/>
    <w:rsid w:val="1D391368"/>
    <w:rsid w:val="1D3A39EE"/>
    <w:rsid w:val="1D3F6CC8"/>
    <w:rsid w:val="1D546A72"/>
    <w:rsid w:val="1D5A2611"/>
    <w:rsid w:val="1D6076C7"/>
    <w:rsid w:val="1D6D0D3B"/>
    <w:rsid w:val="1D6D4691"/>
    <w:rsid w:val="1D6E201E"/>
    <w:rsid w:val="1D706283"/>
    <w:rsid w:val="1DA1452F"/>
    <w:rsid w:val="1DA8102B"/>
    <w:rsid w:val="1DAC655D"/>
    <w:rsid w:val="1DB80BA8"/>
    <w:rsid w:val="1DBE46F3"/>
    <w:rsid w:val="1DC257DA"/>
    <w:rsid w:val="1DD04047"/>
    <w:rsid w:val="1DD07529"/>
    <w:rsid w:val="1DD7361F"/>
    <w:rsid w:val="1DDA2E02"/>
    <w:rsid w:val="1DDB3624"/>
    <w:rsid w:val="1DE32391"/>
    <w:rsid w:val="1DE438CF"/>
    <w:rsid w:val="1DE51A6B"/>
    <w:rsid w:val="1DEA085D"/>
    <w:rsid w:val="1DF046F4"/>
    <w:rsid w:val="1DF261E4"/>
    <w:rsid w:val="1DFC00CA"/>
    <w:rsid w:val="1DFE593B"/>
    <w:rsid w:val="1E090A28"/>
    <w:rsid w:val="1E173664"/>
    <w:rsid w:val="1E1C4AAA"/>
    <w:rsid w:val="1E206A27"/>
    <w:rsid w:val="1E2C7052"/>
    <w:rsid w:val="1E3D179D"/>
    <w:rsid w:val="1E3E386E"/>
    <w:rsid w:val="1E442AB0"/>
    <w:rsid w:val="1E4C587C"/>
    <w:rsid w:val="1E5135F1"/>
    <w:rsid w:val="1E54741D"/>
    <w:rsid w:val="1E6622F5"/>
    <w:rsid w:val="1E6815BC"/>
    <w:rsid w:val="1E790592"/>
    <w:rsid w:val="1E8B3B3A"/>
    <w:rsid w:val="1E902B9B"/>
    <w:rsid w:val="1EA13082"/>
    <w:rsid w:val="1EB131E8"/>
    <w:rsid w:val="1EBA3633"/>
    <w:rsid w:val="1EC51DB1"/>
    <w:rsid w:val="1EE7180F"/>
    <w:rsid w:val="1EE94437"/>
    <w:rsid w:val="1EED41DF"/>
    <w:rsid w:val="1F084CB2"/>
    <w:rsid w:val="1F112927"/>
    <w:rsid w:val="1F184EC7"/>
    <w:rsid w:val="1F1C1173"/>
    <w:rsid w:val="1F1D024E"/>
    <w:rsid w:val="1F1E1354"/>
    <w:rsid w:val="1F1E2074"/>
    <w:rsid w:val="1F2E3E46"/>
    <w:rsid w:val="1F4D7FBF"/>
    <w:rsid w:val="1F546998"/>
    <w:rsid w:val="1F61422F"/>
    <w:rsid w:val="1F6D28EF"/>
    <w:rsid w:val="1F707059"/>
    <w:rsid w:val="1F744026"/>
    <w:rsid w:val="1F7C4600"/>
    <w:rsid w:val="1F7F4AF8"/>
    <w:rsid w:val="1F8F4524"/>
    <w:rsid w:val="1F9F01F2"/>
    <w:rsid w:val="1FA31E26"/>
    <w:rsid w:val="1FA636C3"/>
    <w:rsid w:val="1FA70ADE"/>
    <w:rsid w:val="1FBA579B"/>
    <w:rsid w:val="1FBC6A85"/>
    <w:rsid w:val="1FD05E47"/>
    <w:rsid w:val="1FD7353C"/>
    <w:rsid w:val="1FDE34EE"/>
    <w:rsid w:val="1FE27BA4"/>
    <w:rsid w:val="1FE670D9"/>
    <w:rsid w:val="1FF1390B"/>
    <w:rsid w:val="200D34F7"/>
    <w:rsid w:val="20191307"/>
    <w:rsid w:val="201F0725"/>
    <w:rsid w:val="202260B8"/>
    <w:rsid w:val="202E1B55"/>
    <w:rsid w:val="20327A00"/>
    <w:rsid w:val="20364EC6"/>
    <w:rsid w:val="203B36FB"/>
    <w:rsid w:val="204627EE"/>
    <w:rsid w:val="20484CAF"/>
    <w:rsid w:val="20561904"/>
    <w:rsid w:val="20657A13"/>
    <w:rsid w:val="20715150"/>
    <w:rsid w:val="207215D1"/>
    <w:rsid w:val="207732BD"/>
    <w:rsid w:val="207E43F5"/>
    <w:rsid w:val="20847357"/>
    <w:rsid w:val="20881A20"/>
    <w:rsid w:val="208A5269"/>
    <w:rsid w:val="20A0534E"/>
    <w:rsid w:val="20B762CC"/>
    <w:rsid w:val="20C57D76"/>
    <w:rsid w:val="20CB053E"/>
    <w:rsid w:val="20D033E9"/>
    <w:rsid w:val="20DA1E98"/>
    <w:rsid w:val="20EC1954"/>
    <w:rsid w:val="20F021B6"/>
    <w:rsid w:val="20FB41CA"/>
    <w:rsid w:val="21065EA2"/>
    <w:rsid w:val="210B6096"/>
    <w:rsid w:val="211734C9"/>
    <w:rsid w:val="211852A9"/>
    <w:rsid w:val="21282CBE"/>
    <w:rsid w:val="212E0721"/>
    <w:rsid w:val="21330B44"/>
    <w:rsid w:val="21643021"/>
    <w:rsid w:val="216F6B15"/>
    <w:rsid w:val="21733E2C"/>
    <w:rsid w:val="217F1D1B"/>
    <w:rsid w:val="21950D45"/>
    <w:rsid w:val="21A16B73"/>
    <w:rsid w:val="21AE5AA8"/>
    <w:rsid w:val="21B169B3"/>
    <w:rsid w:val="21B83B73"/>
    <w:rsid w:val="21D60461"/>
    <w:rsid w:val="21D70BA0"/>
    <w:rsid w:val="21E02EBA"/>
    <w:rsid w:val="21EF2C9B"/>
    <w:rsid w:val="21FB17F1"/>
    <w:rsid w:val="2200613C"/>
    <w:rsid w:val="220A1D7E"/>
    <w:rsid w:val="2220542A"/>
    <w:rsid w:val="22303DBF"/>
    <w:rsid w:val="22465C98"/>
    <w:rsid w:val="22491E1E"/>
    <w:rsid w:val="224B158C"/>
    <w:rsid w:val="224D59D9"/>
    <w:rsid w:val="224F0A29"/>
    <w:rsid w:val="224F7842"/>
    <w:rsid w:val="2253063D"/>
    <w:rsid w:val="2254702B"/>
    <w:rsid w:val="2257409F"/>
    <w:rsid w:val="225C63F7"/>
    <w:rsid w:val="225F0B33"/>
    <w:rsid w:val="226A7972"/>
    <w:rsid w:val="226E17EF"/>
    <w:rsid w:val="228A77BE"/>
    <w:rsid w:val="22A82EB3"/>
    <w:rsid w:val="22AA2283"/>
    <w:rsid w:val="22AB563C"/>
    <w:rsid w:val="22AD3810"/>
    <w:rsid w:val="22C303C4"/>
    <w:rsid w:val="22C54B41"/>
    <w:rsid w:val="22C947F2"/>
    <w:rsid w:val="22D02FC4"/>
    <w:rsid w:val="22DF523F"/>
    <w:rsid w:val="22E91AF7"/>
    <w:rsid w:val="22EB41D8"/>
    <w:rsid w:val="22F966C5"/>
    <w:rsid w:val="23205257"/>
    <w:rsid w:val="232836C2"/>
    <w:rsid w:val="233523A1"/>
    <w:rsid w:val="23442C70"/>
    <w:rsid w:val="235626EF"/>
    <w:rsid w:val="23574178"/>
    <w:rsid w:val="235836F3"/>
    <w:rsid w:val="23612E69"/>
    <w:rsid w:val="236D2EFA"/>
    <w:rsid w:val="237758F3"/>
    <w:rsid w:val="238238A3"/>
    <w:rsid w:val="238C77DC"/>
    <w:rsid w:val="23907523"/>
    <w:rsid w:val="23910854"/>
    <w:rsid w:val="239713DE"/>
    <w:rsid w:val="239E2D97"/>
    <w:rsid w:val="23AC0B5F"/>
    <w:rsid w:val="23B302BF"/>
    <w:rsid w:val="23B67A5E"/>
    <w:rsid w:val="23B8552E"/>
    <w:rsid w:val="23DC483D"/>
    <w:rsid w:val="23E312F3"/>
    <w:rsid w:val="240802BA"/>
    <w:rsid w:val="240B5607"/>
    <w:rsid w:val="240E5B0D"/>
    <w:rsid w:val="24177231"/>
    <w:rsid w:val="2421134D"/>
    <w:rsid w:val="243A3E5C"/>
    <w:rsid w:val="24446F3E"/>
    <w:rsid w:val="244B767F"/>
    <w:rsid w:val="245155DE"/>
    <w:rsid w:val="245426E7"/>
    <w:rsid w:val="2457375C"/>
    <w:rsid w:val="245F2D64"/>
    <w:rsid w:val="2464706F"/>
    <w:rsid w:val="246E3AC2"/>
    <w:rsid w:val="24753A90"/>
    <w:rsid w:val="247A6323"/>
    <w:rsid w:val="248D1417"/>
    <w:rsid w:val="249E4181"/>
    <w:rsid w:val="24A14993"/>
    <w:rsid w:val="24AA272D"/>
    <w:rsid w:val="24BA295E"/>
    <w:rsid w:val="24BA7CB4"/>
    <w:rsid w:val="24C47403"/>
    <w:rsid w:val="24D31624"/>
    <w:rsid w:val="24D475CF"/>
    <w:rsid w:val="24DA306F"/>
    <w:rsid w:val="24DE6EDD"/>
    <w:rsid w:val="24F27B16"/>
    <w:rsid w:val="24F378A5"/>
    <w:rsid w:val="24F87036"/>
    <w:rsid w:val="250B4DF3"/>
    <w:rsid w:val="250E3E57"/>
    <w:rsid w:val="251922CC"/>
    <w:rsid w:val="251A2827"/>
    <w:rsid w:val="251D54C7"/>
    <w:rsid w:val="25260287"/>
    <w:rsid w:val="252720B6"/>
    <w:rsid w:val="252D3235"/>
    <w:rsid w:val="254158D3"/>
    <w:rsid w:val="25424292"/>
    <w:rsid w:val="254258A8"/>
    <w:rsid w:val="258560B7"/>
    <w:rsid w:val="2587506E"/>
    <w:rsid w:val="259E4A56"/>
    <w:rsid w:val="25A47333"/>
    <w:rsid w:val="25B07F29"/>
    <w:rsid w:val="25B84C22"/>
    <w:rsid w:val="25B96DA6"/>
    <w:rsid w:val="25BB0B2B"/>
    <w:rsid w:val="25C03579"/>
    <w:rsid w:val="25D3090A"/>
    <w:rsid w:val="25D75BB0"/>
    <w:rsid w:val="25DA68A3"/>
    <w:rsid w:val="25DF4032"/>
    <w:rsid w:val="25E22A18"/>
    <w:rsid w:val="25EE4489"/>
    <w:rsid w:val="26057CE6"/>
    <w:rsid w:val="260D3EDD"/>
    <w:rsid w:val="26132172"/>
    <w:rsid w:val="261E41A7"/>
    <w:rsid w:val="26230466"/>
    <w:rsid w:val="26257EAC"/>
    <w:rsid w:val="26287DFF"/>
    <w:rsid w:val="262C16F1"/>
    <w:rsid w:val="263B717C"/>
    <w:rsid w:val="26443102"/>
    <w:rsid w:val="26443C5B"/>
    <w:rsid w:val="26527AEB"/>
    <w:rsid w:val="2655252D"/>
    <w:rsid w:val="26590540"/>
    <w:rsid w:val="265B2FAD"/>
    <w:rsid w:val="266557CD"/>
    <w:rsid w:val="2676219C"/>
    <w:rsid w:val="267832EA"/>
    <w:rsid w:val="26987CAB"/>
    <w:rsid w:val="269B587B"/>
    <w:rsid w:val="26A610D9"/>
    <w:rsid w:val="26B82288"/>
    <w:rsid w:val="26BF69ED"/>
    <w:rsid w:val="26C300BF"/>
    <w:rsid w:val="26CF560E"/>
    <w:rsid w:val="26D443CC"/>
    <w:rsid w:val="26D526DE"/>
    <w:rsid w:val="26D7247F"/>
    <w:rsid w:val="26DB1DE1"/>
    <w:rsid w:val="26DC0A0C"/>
    <w:rsid w:val="26DD454E"/>
    <w:rsid w:val="26E122DE"/>
    <w:rsid w:val="26EA2574"/>
    <w:rsid w:val="26EA5768"/>
    <w:rsid w:val="26EB4CA7"/>
    <w:rsid w:val="26ED23F1"/>
    <w:rsid w:val="26F10838"/>
    <w:rsid w:val="26F1737A"/>
    <w:rsid w:val="270145E6"/>
    <w:rsid w:val="27022157"/>
    <w:rsid w:val="27071000"/>
    <w:rsid w:val="270A3CC3"/>
    <w:rsid w:val="2710669B"/>
    <w:rsid w:val="27173360"/>
    <w:rsid w:val="2730361D"/>
    <w:rsid w:val="273310D7"/>
    <w:rsid w:val="2735186E"/>
    <w:rsid w:val="27391AD6"/>
    <w:rsid w:val="27473525"/>
    <w:rsid w:val="27516BBF"/>
    <w:rsid w:val="275A1485"/>
    <w:rsid w:val="275B1277"/>
    <w:rsid w:val="27612880"/>
    <w:rsid w:val="27661CB7"/>
    <w:rsid w:val="27791CFA"/>
    <w:rsid w:val="27893CEC"/>
    <w:rsid w:val="278B7A87"/>
    <w:rsid w:val="27980268"/>
    <w:rsid w:val="27991CD4"/>
    <w:rsid w:val="27A033B5"/>
    <w:rsid w:val="27A07964"/>
    <w:rsid w:val="27A314C4"/>
    <w:rsid w:val="27A5175F"/>
    <w:rsid w:val="27B13D78"/>
    <w:rsid w:val="27B6249E"/>
    <w:rsid w:val="27C40C03"/>
    <w:rsid w:val="27CF4C48"/>
    <w:rsid w:val="27D36DD5"/>
    <w:rsid w:val="27D70B8F"/>
    <w:rsid w:val="27DD21A8"/>
    <w:rsid w:val="27DE72C0"/>
    <w:rsid w:val="27E728E2"/>
    <w:rsid w:val="27EB411E"/>
    <w:rsid w:val="27F93834"/>
    <w:rsid w:val="28085050"/>
    <w:rsid w:val="280B5FC2"/>
    <w:rsid w:val="280C7323"/>
    <w:rsid w:val="28112F43"/>
    <w:rsid w:val="2812249E"/>
    <w:rsid w:val="28135C4C"/>
    <w:rsid w:val="2820514B"/>
    <w:rsid w:val="28275D4F"/>
    <w:rsid w:val="28787E92"/>
    <w:rsid w:val="28945AAC"/>
    <w:rsid w:val="28946C59"/>
    <w:rsid w:val="28A542C1"/>
    <w:rsid w:val="28AB449B"/>
    <w:rsid w:val="28AB77EF"/>
    <w:rsid w:val="28B4583D"/>
    <w:rsid w:val="28C54750"/>
    <w:rsid w:val="28D64238"/>
    <w:rsid w:val="28DD1F13"/>
    <w:rsid w:val="28DF34FE"/>
    <w:rsid w:val="28E10FF5"/>
    <w:rsid w:val="28E8710D"/>
    <w:rsid w:val="28E948A5"/>
    <w:rsid w:val="28FC2E10"/>
    <w:rsid w:val="29005E2C"/>
    <w:rsid w:val="29146A9A"/>
    <w:rsid w:val="291675D6"/>
    <w:rsid w:val="29186432"/>
    <w:rsid w:val="29310257"/>
    <w:rsid w:val="294360BD"/>
    <w:rsid w:val="294B5D50"/>
    <w:rsid w:val="294C3577"/>
    <w:rsid w:val="29503DA2"/>
    <w:rsid w:val="295200EF"/>
    <w:rsid w:val="29554D3E"/>
    <w:rsid w:val="295616C7"/>
    <w:rsid w:val="295E55AC"/>
    <w:rsid w:val="29601272"/>
    <w:rsid w:val="2961073F"/>
    <w:rsid w:val="29802BD3"/>
    <w:rsid w:val="298756E9"/>
    <w:rsid w:val="29925DFF"/>
    <w:rsid w:val="29925FB5"/>
    <w:rsid w:val="29A94291"/>
    <w:rsid w:val="29B16382"/>
    <w:rsid w:val="29B415AE"/>
    <w:rsid w:val="29B42D1F"/>
    <w:rsid w:val="29B97137"/>
    <w:rsid w:val="29C57C00"/>
    <w:rsid w:val="29C755E8"/>
    <w:rsid w:val="29D01CEB"/>
    <w:rsid w:val="29D149F5"/>
    <w:rsid w:val="29DE7A1C"/>
    <w:rsid w:val="29E03D5E"/>
    <w:rsid w:val="29E03E74"/>
    <w:rsid w:val="29E138EE"/>
    <w:rsid w:val="29E36DB8"/>
    <w:rsid w:val="29EF7B8D"/>
    <w:rsid w:val="2A122D43"/>
    <w:rsid w:val="2A1B1C7C"/>
    <w:rsid w:val="2A1D4C7F"/>
    <w:rsid w:val="2A2C5156"/>
    <w:rsid w:val="2A3035F2"/>
    <w:rsid w:val="2A3840D9"/>
    <w:rsid w:val="2A4E47DB"/>
    <w:rsid w:val="2A4F4630"/>
    <w:rsid w:val="2A53509B"/>
    <w:rsid w:val="2A5851ED"/>
    <w:rsid w:val="2A6550CF"/>
    <w:rsid w:val="2A657052"/>
    <w:rsid w:val="2A754247"/>
    <w:rsid w:val="2A8713B5"/>
    <w:rsid w:val="2A8E2547"/>
    <w:rsid w:val="2A911D5F"/>
    <w:rsid w:val="2A9A3FC1"/>
    <w:rsid w:val="2AA343D6"/>
    <w:rsid w:val="2AA40A9B"/>
    <w:rsid w:val="2AB57764"/>
    <w:rsid w:val="2AC36677"/>
    <w:rsid w:val="2ACF0277"/>
    <w:rsid w:val="2ADA35E5"/>
    <w:rsid w:val="2ADB09D6"/>
    <w:rsid w:val="2ADE3434"/>
    <w:rsid w:val="2ADE677D"/>
    <w:rsid w:val="2AE36FB3"/>
    <w:rsid w:val="2B086B3B"/>
    <w:rsid w:val="2B0F281A"/>
    <w:rsid w:val="2B1657C5"/>
    <w:rsid w:val="2B1C5C60"/>
    <w:rsid w:val="2B1F319F"/>
    <w:rsid w:val="2B206F3C"/>
    <w:rsid w:val="2B3A46A3"/>
    <w:rsid w:val="2B4B0C73"/>
    <w:rsid w:val="2B504DEF"/>
    <w:rsid w:val="2B5324E0"/>
    <w:rsid w:val="2B5E308F"/>
    <w:rsid w:val="2B632E57"/>
    <w:rsid w:val="2B67224D"/>
    <w:rsid w:val="2B74787D"/>
    <w:rsid w:val="2B7B32CE"/>
    <w:rsid w:val="2B7B3DCB"/>
    <w:rsid w:val="2B817065"/>
    <w:rsid w:val="2B8421C5"/>
    <w:rsid w:val="2B846AD5"/>
    <w:rsid w:val="2B851793"/>
    <w:rsid w:val="2B8E5507"/>
    <w:rsid w:val="2B930C57"/>
    <w:rsid w:val="2B975E42"/>
    <w:rsid w:val="2BA14749"/>
    <w:rsid w:val="2BA86F22"/>
    <w:rsid w:val="2BB15ACF"/>
    <w:rsid w:val="2BB86058"/>
    <w:rsid w:val="2BB9633F"/>
    <w:rsid w:val="2BC1396A"/>
    <w:rsid w:val="2BC60555"/>
    <w:rsid w:val="2BC97AD3"/>
    <w:rsid w:val="2BD3763C"/>
    <w:rsid w:val="2BE26FF4"/>
    <w:rsid w:val="2BEE2628"/>
    <w:rsid w:val="2BF0241C"/>
    <w:rsid w:val="2C015055"/>
    <w:rsid w:val="2C271136"/>
    <w:rsid w:val="2C28322B"/>
    <w:rsid w:val="2C297DB6"/>
    <w:rsid w:val="2C2B0A57"/>
    <w:rsid w:val="2C305720"/>
    <w:rsid w:val="2C3555E2"/>
    <w:rsid w:val="2C3B1A44"/>
    <w:rsid w:val="2C3F3E89"/>
    <w:rsid w:val="2C3F7A47"/>
    <w:rsid w:val="2C4547BE"/>
    <w:rsid w:val="2C5C38A4"/>
    <w:rsid w:val="2C6433DC"/>
    <w:rsid w:val="2C676149"/>
    <w:rsid w:val="2C7F3D2E"/>
    <w:rsid w:val="2C7F4BE9"/>
    <w:rsid w:val="2C8362CE"/>
    <w:rsid w:val="2C8C2F79"/>
    <w:rsid w:val="2C8E24DD"/>
    <w:rsid w:val="2CB63B76"/>
    <w:rsid w:val="2CB765FE"/>
    <w:rsid w:val="2CC57949"/>
    <w:rsid w:val="2CC639D9"/>
    <w:rsid w:val="2CD71E22"/>
    <w:rsid w:val="2CDA3DE8"/>
    <w:rsid w:val="2CE13653"/>
    <w:rsid w:val="2CEA0DB6"/>
    <w:rsid w:val="2CF55B80"/>
    <w:rsid w:val="2CFA0A66"/>
    <w:rsid w:val="2D001673"/>
    <w:rsid w:val="2D06333E"/>
    <w:rsid w:val="2D217416"/>
    <w:rsid w:val="2D336E40"/>
    <w:rsid w:val="2D3D1FFC"/>
    <w:rsid w:val="2D4375BF"/>
    <w:rsid w:val="2D692248"/>
    <w:rsid w:val="2D6B5A94"/>
    <w:rsid w:val="2D793060"/>
    <w:rsid w:val="2D8206CA"/>
    <w:rsid w:val="2D875952"/>
    <w:rsid w:val="2D9142F1"/>
    <w:rsid w:val="2D9D1AC3"/>
    <w:rsid w:val="2DAB5C3E"/>
    <w:rsid w:val="2DB13B85"/>
    <w:rsid w:val="2DB66924"/>
    <w:rsid w:val="2DC040DC"/>
    <w:rsid w:val="2DC4456B"/>
    <w:rsid w:val="2DD64E63"/>
    <w:rsid w:val="2DDB5F7B"/>
    <w:rsid w:val="2DDD6EFB"/>
    <w:rsid w:val="2DDE6291"/>
    <w:rsid w:val="2E120324"/>
    <w:rsid w:val="2E170116"/>
    <w:rsid w:val="2E1E51F7"/>
    <w:rsid w:val="2E2C5361"/>
    <w:rsid w:val="2E394604"/>
    <w:rsid w:val="2E44053E"/>
    <w:rsid w:val="2E4C6FC0"/>
    <w:rsid w:val="2E547F7A"/>
    <w:rsid w:val="2E582A89"/>
    <w:rsid w:val="2E5B5B0D"/>
    <w:rsid w:val="2E5E0E3C"/>
    <w:rsid w:val="2E7020CB"/>
    <w:rsid w:val="2E70506A"/>
    <w:rsid w:val="2E76357A"/>
    <w:rsid w:val="2E7B5F94"/>
    <w:rsid w:val="2E880A26"/>
    <w:rsid w:val="2E8819BF"/>
    <w:rsid w:val="2E8861C0"/>
    <w:rsid w:val="2E8F1044"/>
    <w:rsid w:val="2E95074D"/>
    <w:rsid w:val="2E980411"/>
    <w:rsid w:val="2E9B7C44"/>
    <w:rsid w:val="2E9D1CB0"/>
    <w:rsid w:val="2E9F3EF1"/>
    <w:rsid w:val="2EB1451F"/>
    <w:rsid w:val="2EB85D8A"/>
    <w:rsid w:val="2ED036A7"/>
    <w:rsid w:val="2EDB6C2C"/>
    <w:rsid w:val="2EE06F56"/>
    <w:rsid w:val="2EE74C45"/>
    <w:rsid w:val="2EEB39D1"/>
    <w:rsid w:val="2EF46CD8"/>
    <w:rsid w:val="2EF74705"/>
    <w:rsid w:val="2F004AF8"/>
    <w:rsid w:val="2F034631"/>
    <w:rsid w:val="2F061A5D"/>
    <w:rsid w:val="2F0D5469"/>
    <w:rsid w:val="2F255522"/>
    <w:rsid w:val="2F2A1539"/>
    <w:rsid w:val="2F2D34B7"/>
    <w:rsid w:val="2F413F91"/>
    <w:rsid w:val="2F43629E"/>
    <w:rsid w:val="2F52194F"/>
    <w:rsid w:val="2F6B710E"/>
    <w:rsid w:val="2F745EA9"/>
    <w:rsid w:val="2F761499"/>
    <w:rsid w:val="2F78275A"/>
    <w:rsid w:val="2F784C3E"/>
    <w:rsid w:val="2F79629E"/>
    <w:rsid w:val="2F7E6E1E"/>
    <w:rsid w:val="2F835DDB"/>
    <w:rsid w:val="2F9B730D"/>
    <w:rsid w:val="2F9E69C1"/>
    <w:rsid w:val="2FB81AFB"/>
    <w:rsid w:val="2FB84AB9"/>
    <w:rsid w:val="2FC86A85"/>
    <w:rsid w:val="2FCA3B93"/>
    <w:rsid w:val="2FDC7AF9"/>
    <w:rsid w:val="2FF15548"/>
    <w:rsid w:val="2FF274BB"/>
    <w:rsid w:val="2FF40611"/>
    <w:rsid w:val="2FF81880"/>
    <w:rsid w:val="2FFE0F25"/>
    <w:rsid w:val="30091B29"/>
    <w:rsid w:val="300C179B"/>
    <w:rsid w:val="301B7DFB"/>
    <w:rsid w:val="301C177F"/>
    <w:rsid w:val="301D4F60"/>
    <w:rsid w:val="303042AF"/>
    <w:rsid w:val="303366BD"/>
    <w:rsid w:val="303C0921"/>
    <w:rsid w:val="30527066"/>
    <w:rsid w:val="3053666C"/>
    <w:rsid w:val="30552555"/>
    <w:rsid w:val="305F7D9F"/>
    <w:rsid w:val="30646C7E"/>
    <w:rsid w:val="30804273"/>
    <w:rsid w:val="308136A0"/>
    <w:rsid w:val="30945AA9"/>
    <w:rsid w:val="309C1FBE"/>
    <w:rsid w:val="309E7FB2"/>
    <w:rsid w:val="30A11B12"/>
    <w:rsid w:val="30A9113E"/>
    <w:rsid w:val="30AE3C03"/>
    <w:rsid w:val="30B24F51"/>
    <w:rsid w:val="30D31961"/>
    <w:rsid w:val="30D32A18"/>
    <w:rsid w:val="30EA5B1A"/>
    <w:rsid w:val="310126A6"/>
    <w:rsid w:val="31131E31"/>
    <w:rsid w:val="311F3BD7"/>
    <w:rsid w:val="31284519"/>
    <w:rsid w:val="31291FE2"/>
    <w:rsid w:val="31314D21"/>
    <w:rsid w:val="313C010A"/>
    <w:rsid w:val="313D5829"/>
    <w:rsid w:val="31404390"/>
    <w:rsid w:val="314D148D"/>
    <w:rsid w:val="31534BDF"/>
    <w:rsid w:val="315E1AB4"/>
    <w:rsid w:val="316460A5"/>
    <w:rsid w:val="3165558D"/>
    <w:rsid w:val="316C1487"/>
    <w:rsid w:val="316F047E"/>
    <w:rsid w:val="317176F5"/>
    <w:rsid w:val="31732218"/>
    <w:rsid w:val="318C3152"/>
    <w:rsid w:val="318E3938"/>
    <w:rsid w:val="31905F04"/>
    <w:rsid w:val="31925EA1"/>
    <w:rsid w:val="31974023"/>
    <w:rsid w:val="31A92F44"/>
    <w:rsid w:val="31AD1674"/>
    <w:rsid w:val="31BF046D"/>
    <w:rsid w:val="31C314D1"/>
    <w:rsid w:val="31C415F5"/>
    <w:rsid w:val="31CA3138"/>
    <w:rsid w:val="31D10A5E"/>
    <w:rsid w:val="31D317BA"/>
    <w:rsid w:val="31D84635"/>
    <w:rsid w:val="31DE27B9"/>
    <w:rsid w:val="31E31DF9"/>
    <w:rsid w:val="31F97FBA"/>
    <w:rsid w:val="31FC3C6E"/>
    <w:rsid w:val="32011AF8"/>
    <w:rsid w:val="32162894"/>
    <w:rsid w:val="321D3684"/>
    <w:rsid w:val="323446FA"/>
    <w:rsid w:val="3239363A"/>
    <w:rsid w:val="323B0811"/>
    <w:rsid w:val="32464172"/>
    <w:rsid w:val="32564F1C"/>
    <w:rsid w:val="326632DB"/>
    <w:rsid w:val="326E78FB"/>
    <w:rsid w:val="3272726D"/>
    <w:rsid w:val="327416B4"/>
    <w:rsid w:val="32846172"/>
    <w:rsid w:val="328C736B"/>
    <w:rsid w:val="32C3271C"/>
    <w:rsid w:val="32CC570B"/>
    <w:rsid w:val="32CE77F3"/>
    <w:rsid w:val="32D50FFF"/>
    <w:rsid w:val="32FB2540"/>
    <w:rsid w:val="33116175"/>
    <w:rsid w:val="33196B8E"/>
    <w:rsid w:val="331E5362"/>
    <w:rsid w:val="331F1755"/>
    <w:rsid w:val="33210C4F"/>
    <w:rsid w:val="33216F69"/>
    <w:rsid w:val="33222147"/>
    <w:rsid w:val="3332334D"/>
    <w:rsid w:val="3337317A"/>
    <w:rsid w:val="333E7391"/>
    <w:rsid w:val="3354420F"/>
    <w:rsid w:val="33577BA2"/>
    <w:rsid w:val="33602889"/>
    <w:rsid w:val="336564FA"/>
    <w:rsid w:val="337E6CA6"/>
    <w:rsid w:val="3386556E"/>
    <w:rsid w:val="338F61D2"/>
    <w:rsid w:val="339A0901"/>
    <w:rsid w:val="339D4EA9"/>
    <w:rsid w:val="33A73226"/>
    <w:rsid w:val="33B337E8"/>
    <w:rsid w:val="33C36368"/>
    <w:rsid w:val="33C416AD"/>
    <w:rsid w:val="33CA282A"/>
    <w:rsid w:val="33D10877"/>
    <w:rsid w:val="33D20594"/>
    <w:rsid w:val="33D31C48"/>
    <w:rsid w:val="33D41E16"/>
    <w:rsid w:val="33DD2222"/>
    <w:rsid w:val="33DF173C"/>
    <w:rsid w:val="33DF385B"/>
    <w:rsid w:val="33EC5587"/>
    <w:rsid w:val="33F13868"/>
    <w:rsid w:val="33F155F6"/>
    <w:rsid w:val="33F32DA6"/>
    <w:rsid w:val="33F357FB"/>
    <w:rsid w:val="33F93AD6"/>
    <w:rsid w:val="340B05BF"/>
    <w:rsid w:val="34100F1F"/>
    <w:rsid w:val="34123F42"/>
    <w:rsid w:val="341475A7"/>
    <w:rsid w:val="341C562B"/>
    <w:rsid w:val="34204DA2"/>
    <w:rsid w:val="342673B3"/>
    <w:rsid w:val="3430363B"/>
    <w:rsid w:val="34325692"/>
    <w:rsid w:val="343315F3"/>
    <w:rsid w:val="343B758F"/>
    <w:rsid w:val="34462C03"/>
    <w:rsid w:val="34501633"/>
    <w:rsid w:val="346163F9"/>
    <w:rsid w:val="3466771B"/>
    <w:rsid w:val="34672C91"/>
    <w:rsid w:val="347339EC"/>
    <w:rsid w:val="34766553"/>
    <w:rsid w:val="3479612E"/>
    <w:rsid w:val="347E4255"/>
    <w:rsid w:val="348E281D"/>
    <w:rsid w:val="34991CDD"/>
    <w:rsid w:val="34A4528B"/>
    <w:rsid w:val="34B051B5"/>
    <w:rsid w:val="34B76785"/>
    <w:rsid w:val="34BA1BBF"/>
    <w:rsid w:val="34C12446"/>
    <w:rsid w:val="34D0136E"/>
    <w:rsid w:val="34DA78D6"/>
    <w:rsid w:val="34E92C03"/>
    <w:rsid w:val="34EE7552"/>
    <w:rsid w:val="350B218B"/>
    <w:rsid w:val="351673A3"/>
    <w:rsid w:val="351D17B8"/>
    <w:rsid w:val="352A45C6"/>
    <w:rsid w:val="35325781"/>
    <w:rsid w:val="353C06EA"/>
    <w:rsid w:val="354421A4"/>
    <w:rsid w:val="35473B4F"/>
    <w:rsid w:val="354F3A14"/>
    <w:rsid w:val="35584C55"/>
    <w:rsid w:val="35620FC9"/>
    <w:rsid w:val="35817BC6"/>
    <w:rsid w:val="35862694"/>
    <w:rsid w:val="358D1A25"/>
    <w:rsid w:val="35901770"/>
    <w:rsid w:val="35A618C9"/>
    <w:rsid w:val="35AD0A95"/>
    <w:rsid w:val="35B07EF5"/>
    <w:rsid w:val="35B51E9E"/>
    <w:rsid w:val="35BF6169"/>
    <w:rsid w:val="35C24A43"/>
    <w:rsid w:val="35C67DF3"/>
    <w:rsid w:val="35CC1594"/>
    <w:rsid w:val="35DD16E8"/>
    <w:rsid w:val="35DF5F9D"/>
    <w:rsid w:val="35E01D84"/>
    <w:rsid w:val="35E4337D"/>
    <w:rsid w:val="35F968C9"/>
    <w:rsid w:val="35FC3FD0"/>
    <w:rsid w:val="36091D27"/>
    <w:rsid w:val="360F72AF"/>
    <w:rsid w:val="3614690E"/>
    <w:rsid w:val="36211E93"/>
    <w:rsid w:val="362A7FE4"/>
    <w:rsid w:val="362B199D"/>
    <w:rsid w:val="362C538D"/>
    <w:rsid w:val="363A3A5A"/>
    <w:rsid w:val="363F4CAA"/>
    <w:rsid w:val="3642738C"/>
    <w:rsid w:val="3646288B"/>
    <w:rsid w:val="36491205"/>
    <w:rsid w:val="364B33E1"/>
    <w:rsid w:val="36535751"/>
    <w:rsid w:val="365C5588"/>
    <w:rsid w:val="365D1ED2"/>
    <w:rsid w:val="366F2568"/>
    <w:rsid w:val="36797447"/>
    <w:rsid w:val="367C1D9D"/>
    <w:rsid w:val="36845EBD"/>
    <w:rsid w:val="368513EB"/>
    <w:rsid w:val="36891E28"/>
    <w:rsid w:val="369105F9"/>
    <w:rsid w:val="369629B4"/>
    <w:rsid w:val="36A83C91"/>
    <w:rsid w:val="36BE635E"/>
    <w:rsid w:val="36D1084C"/>
    <w:rsid w:val="36D95F58"/>
    <w:rsid w:val="36DE3B94"/>
    <w:rsid w:val="36E16BA3"/>
    <w:rsid w:val="36ED1B58"/>
    <w:rsid w:val="36F02372"/>
    <w:rsid w:val="36FF36C9"/>
    <w:rsid w:val="37117325"/>
    <w:rsid w:val="37120DBA"/>
    <w:rsid w:val="37147E0C"/>
    <w:rsid w:val="37153497"/>
    <w:rsid w:val="372418F1"/>
    <w:rsid w:val="37256F2A"/>
    <w:rsid w:val="37287201"/>
    <w:rsid w:val="3732064E"/>
    <w:rsid w:val="374146C5"/>
    <w:rsid w:val="374367AE"/>
    <w:rsid w:val="374F47D9"/>
    <w:rsid w:val="37507B0C"/>
    <w:rsid w:val="375E1776"/>
    <w:rsid w:val="37682AB3"/>
    <w:rsid w:val="37774F5B"/>
    <w:rsid w:val="377C599F"/>
    <w:rsid w:val="37813590"/>
    <w:rsid w:val="37927C5D"/>
    <w:rsid w:val="379E78D2"/>
    <w:rsid w:val="37A066B8"/>
    <w:rsid w:val="37B74D79"/>
    <w:rsid w:val="37CD0E85"/>
    <w:rsid w:val="37E438C0"/>
    <w:rsid w:val="37EE3D19"/>
    <w:rsid w:val="37EF1881"/>
    <w:rsid w:val="37F41218"/>
    <w:rsid w:val="37F51AFC"/>
    <w:rsid w:val="37FB6283"/>
    <w:rsid w:val="380312B0"/>
    <w:rsid w:val="380B116C"/>
    <w:rsid w:val="381E5DBA"/>
    <w:rsid w:val="381F6F83"/>
    <w:rsid w:val="382955C9"/>
    <w:rsid w:val="382C314E"/>
    <w:rsid w:val="3838067F"/>
    <w:rsid w:val="383A52D6"/>
    <w:rsid w:val="383B49F6"/>
    <w:rsid w:val="383F4DA5"/>
    <w:rsid w:val="38535E57"/>
    <w:rsid w:val="385479F5"/>
    <w:rsid w:val="385B2A5E"/>
    <w:rsid w:val="385D2C9F"/>
    <w:rsid w:val="38781636"/>
    <w:rsid w:val="387A46BE"/>
    <w:rsid w:val="387E364E"/>
    <w:rsid w:val="388055F1"/>
    <w:rsid w:val="388132AC"/>
    <w:rsid w:val="38831BE3"/>
    <w:rsid w:val="388C5F32"/>
    <w:rsid w:val="389020C8"/>
    <w:rsid w:val="38963F9E"/>
    <w:rsid w:val="38A024D7"/>
    <w:rsid w:val="38C0214B"/>
    <w:rsid w:val="38C301EA"/>
    <w:rsid w:val="38DB01DF"/>
    <w:rsid w:val="38E43B34"/>
    <w:rsid w:val="38F173C1"/>
    <w:rsid w:val="390234CE"/>
    <w:rsid w:val="390734FA"/>
    <w:rsid w:val="39092F79"/>
    <w:rsid w:val="39134B5C"/>
    <w:rsid w:val="391352E6"/>
    <w:rsid w:val="39180B7D"/>
    <w:rsid w:val="391E4594"/>
    <w:rsid w:val="392E51B9"/>
    <w:rsid w:val="393144D2"/>
    <w:rsid w:val="393A5A2D"/>
    <w:rsid w:val="39430FB9"/>
    <w:rsid w:val="3956779E"/>
    <w:rsid w:val="39583D36"/>
    <w:rsid w:val="3959315F"/>
    <w:rsid w:val="395C55D9"/>
    <w:rsid w:val="39741E4C"/>
    <w:rsid w:val="39777CDF"/>
    <w:rsid w:val="398731CF"/>
    <w:rsid w:val="398E4ADD"/>
    <w:rsid w:val="39904AA1"/>
    <w:rsid w:val="39960F8A"/>
    <w:rsid w:val="39A53B15"/>
    <w:rsid w:val="39C51A1B"/>
    <w:rsid w:val="39C80719"/>
    <w:rsid w:val="39CC5165"/>
    <w:rsid w:val="39F37644"/>
    <w:rsid w:val="39F950AE"/>
    <w:rsid w:val="3A08018E"/>
    <w:rsid w:val="3A110888"/>
    <w:rsid w:val="3A1D75A9"/>
    <w:rsid w:val="3A340FEA"/>
    <w:rsid w:val="3A4A3A91"/>
    <w:rsid w:val="3A4F5832"/>
    <w:rsid w:val="3A636BD2"/>
    <w:rsid w:val="3A6A2BB8"/>
    <w:rsid w:val="3A7D20D9"/>
    <w:rsid w:val="3A8B0B2E"/>
    <w:rsid w:val="3A947504"/>
    <w:rsid w:val="3A97209A"/>
    <w:rsid w:val="3A9826BA"/>
    <w:rsid w:val="3AAB24A4"/>
    <w:rsid w:val="3AAF09A8"/>
    <w:rsid w:val="3AC7151D"/>
    <w:rsid w:val="3ADB299C"/>
    <w:rsid w:val="3AEC759C"/>
    <w:rsid w:val="3AFB7542"/>
    <w:rsid w:val="3AFD7742"/>
    <w:rsid w:val="3B0254B2"/>
    <w:rsid w:val="3B0E4092"/>
    <w:rsid w:val="3B0F774D"/>
    <w:rsid w:val="3B1B6DE2"/>
    <w:rsid w:val="3B1F30E4"/>
    <w:rsid w:val="3B221D11"/>
    <w:rsid w:val="3B24049E"/>
    <w:rsid w:val="3B2942D2"/>
    <w:rsid w:val="3B2B708E"/>
    <w:rsid w:val="3B357966"/>
    <w:rsid w:val="3B45691B"/>
    <w:rsid w:val="3B5D4B8A"/>
    <w:rsid w:val="3B66470F"/>
    <w:rsid w:val="3B6A70BF"/>
    <w:rsid w:val="3B6B671D"/>
    <w:rsid w:val="3B8F7AE0"/>
    <w:rsid w:val="3B95639A"/>
    <w:rsid w:val="3B9660E8"/>
    <w:rsid w:val="3BAF786B"/>
    <w:rsid w:val="3BB4415D"/>
    <w:rsid w:val="3BB477E8"/>
    <w:rsid w:val="3BB53DA3"/>
    <w:rsid w:val="3BBD3436"/>
    <w:rsid w:val="3BC053E5"/>
    <w:rsid w:val="3BC361C7"/>
    <w:rsid w:val="3BC92B89"/>
    <w:rsid w:val="3BD665E7"/>
    <w:rsid w:val="3BE52C8A"/>
    <w:rsid w:val="3BEB3632"/>
    <w:rsid w:val="3BEE2E33"/>
    <w:rsid w:val="3BFF57C6"/>
    <w:rsid w:val="3C022BC8"/>
    <w:rsid w:val="3C073DEB"/>
    <w:rsid w:val="3C0C3E34"/>
    <w:rsid w:val="3C0E6157"/>
    <w:rsid w:val="3C125976"/>
    <w:rsid w:val="3C21618A"/>
    <w:rsid w:val="3C370257"/>
    <w:rsid w:val="3C381680"/>
    <w:rsid w:val="3C5A3F99"/>
    <w:rsid w:val="3C633A93"/>
    <w:rsid w:val="3C650D93"/>
    <w:rsid w:val="3C682A49"/>
    <w:rsid w:val="3C6C1054"/>
    <w:rsid w:val="3C8B6763"/>
    <w:rsid w:val="3C8E07DA"/>
    <w:rsid w:val="3C8F71E5"/>
    <w:rsid w:val="3C9C191B"/>
    <w:rsid w:val="3CA4320B"/>
    <w:rsid w:val="3CC543DC"/>
    <w:rsid w:val="3CC64104"/>
    <w:rsid w:val="3CDD3E48"/>
    <w:rsid w:val="3CE64FAE"/>
    <w:rsid w:val="3CEF1DC2"/>
    <w:rsid w:val="3CF529D0"/>
    <w:rsid w:val="3D027B35"/>
    <w:rsid w:val="3D202664"/>
    <w:rsid w:val="3D252DE3"/>
    <w:rsid w:val="3D2A2C73"/>
    <w:rsid w:val="3D2D42AD"/>
    <w:rsid w:val="3D470692"/>
    <w:rsid w:val="3D4E19E5"/>
    <w:rsid w:val="3D5A44F4"/>
    <w:rsid w:val="3D681F71"/>
    <w:rsid w:val="3D69668A"/>
    <w:rsid w:val="3D6A3317"/>
    <w:rsid w:val="3D8634F0"/>
    <w:rsid w:val="3D876F80"/>
    <w:rsid w:val="3D8A0E1B"/>
    <w:rsid w:val="3D98229C"/>
    <w:rsid w:val="3D9B4801"/>
    <w:rsid w:val="3DA2659D"/>
    <w:rsid w:val="3DA411D7"/>
    <w:rsid w:val="3DB25758"/>
    <w:rsid w:val="3DB27BBC"/>
    <w:rsid w:val="3DB855BA"/>
    <w:rsid w:val="3DBD160D"/>
    <w:rsid w:val="3DC128A4"/>
    <w:rsid w:val="3DC27E4B"/>
    <w:rsid w:val="3DC8034E"/>
    <w:rsid w:val="3DE25A07"/>
    <w:rsid w:val="3DF13DB3"/>
    <w:rsid w:val="3E027F40"/>
    <w:rsid w:val="3E206ABC"/>
    <w:rsid w:val="3E2107D1"/>
    <w:rsid w:val="3E261087"/>
    <w:rsid w:val="3E27138A"/>
    <w:rsid w:val="3E5D169D"/>
    <w:rsid w:val="3E5F30B0"/>
    <w:rsid w:val="3E6045CC"/>
    <w:rsid w:val="3E634E9E"/>
    <w:rsid w:val="3E673839"/>
    <w:rsid w:val="3E6B0E0C"/>
    <w:rsid w:val="3E6B7F56"/>
    <w:rsid w:val="3E6C6B87"/>
    <w:rsid w:val="3E6D236A"/>
    <w:rsid w:val="3E752879"/>
    <w:rsid w:val="3E99679A"/>
    <w:rsid w:val="3EA572C5"/>
    <w:rsid w:val="3EB118DF"/>
    <w:rsid w:val="3EB51915"/>
    <w:rsid w:val="3EB91BD5"/>
    <w:rsid w:val="3EBA309C"/>
    <w:rsid w:val="3ECD3996"/>
    <w:rsid w:val="3ED6206D"/>
    <w:rsid w:val="3EE04CF5"/>
    <w:rsid w:val="3EE96425"/>
    <w:rsid w:val="3EEF22EE"/>
    <w:rsid w:val="3EEF598A"/>
    <w:rsid w:val="3EF97020"/>
    <w:rsid w:val="3EFB4471"/>
    <w:rsid w:val="3F001DB2"/>
    <w:rsid w:val="3F003FD2"/>
    <w:rsid w:val="3F01256D"/>
    <w:rsid w:val="3F024068"/>
    <w:rsid w:val="3F036A80"/>
    <w:rsid w:val="3F085B5F"/>
    <w:rsid w:val="3F0E62D7"/>
    <w:rsid w:val="3F171C65"/>
    <w:rsid w:val="3F1C1AD2"/>
    <w:rsid w:val="3F2A6703"/>
    <w:rsid w:val="3F33729C"/>
    <w:rsid w:val="3F350057"/>
    <w:rsid w:val="3F4B55FD"/>
    <w:rsid w:val="3F4C7802"/>
    <w:rsid w:val="3F503212"/>
    <w:rsid w:val="3F55361F"/>
    <w:rsid w:val="3F5C52E9"/>
    <w:rsid w:val="3F5D4F0B"/>
    <w:rsid w:val="3F6651A5"/>
    <w:rsid w:val="3F6F1A30"/>
    <w:rsid w:val="3F7B1EBA"/>
    <w:rsid w:val="3F7F3115"/>
    <w:rsid w:val="3F8840CB"/>
    <w:rsid w:val="3F8B5741"/>
    <w:rsid w:val="3FA4628C"/>
    <w:rsid w:val="3FAE2D19"/>
    <w:rsid w:val="3FAF7AC0"/>
    <w:rsid w:val="3FC608AF"/>
    <w:rsid w:val="3FC737C4"/>
    <w:rsid w:val="3FC77A4B"/>
    <w:rsid w:val="3FDC0B0E"/>
    <w:rsid w:val="40003A47"/>
    <w:rsid w:val="40070305"/>
    <w:rsid w:val="4007663B"/>
    <w:rsid w:val="400B5BA4"/>
    <w:rsid w:val="4012568D"/>
    <w:rsid w:val="401C5E2A"/>
    <w:rsid w:val="4020747B"/>
    <w:rsid w:val="40215AC1"/>
    <w:rsid w:val="402204A1"/>
    <w:rsid w:val="402476A2"/>
    <w:rsid w:val="402D6972"/>
    <w:rsid w:val="4036128B"/>
    <w:rsid w:val="404808A3"/>
    <w:rsid w:val="40547483"/>
    <w:rsid w:val="40594719"/>
    <w:rsid w:val="405E37B2"/>
    <w:rsid w:val="406A7B6E"/>
    <w:rsid w:val="40731A0B"/>
    <w:rsid w:val="407B6B8C"/>
    <w:rsid w:val="407E6136"/>
    <w:rsid w:val="40860070"/>
    <w:rsid w:val="40875933"/>
    <w:rsid w:val="40886686"/>
    <w:rsid w:val="408A04C7"/>
    <w:rsid w:val="408E14F6"/>
    <w:rsid w:val="409C3272"/>
    <w:rsid w:val="409E1916"/>
    <w:rsid w:val="40A25627"/>
    <w:rsid w:val="40A755B7"/>
    <w:rsid w:val="40B94818"/>
    <w:rsid w:val="40C062F8"/>
    <w:rsid w:val="40C36AE9"/>
    <w:rsid w:val="40C60D98"/>
    <w:rsid w:val="40D479EE"/>
    <w:rsid w:val="40D851AD"/>
    <w:rsid w:val="40D961D0"/>
    <w:rsid w:val="40E037D7"/>
    <w:rsid w:val="40E53AAC"/>
    <w:rsid w:val="40F26F02"/>
    <w:rsid w:val="41157593"/>
    <w:rsid w:val="411A40AC"/>
    <w:rsid w:val="411C2965"/>
    <w:rsid w:val="41221D88"/>
    <w:rsid w:val="412D5D07"/>
    <w:rsid w:val="413D255D"/>
    <w:rsid w:val="41402438"/>
    <w:rsid w:val="41432555"/>
    <w:rsid w:val="414D157A"/>
    <w:rsid w:val="41501B19"/>
    <w:rsid w:val="41512B72"/>
    <w:rsid w:val="416C40CA"/>
    <w:rsid w:val="416C5962"/>
    <w:rsid w:val="417D5882"/>
    <w:rsid w:val="41832437"/>
    <w:rsid w:val="418567C5"/>
    <w:rsid w:val="419372BA"/>
    <w:rsid w:val="41A54718"/>
    <w:rsid w:val="41A563D6"/>
    <w:rsid w:val="41AC20F2"/>
    <w:rsid w:val="41B10FAB"/>
    <w:rsid w:val="41B56286"/>
    <w:rsid w:val="41B865B5"/>
    <w:rsid w:val="41BA39F8"/>
    <w:rsid w:val="41BC4FEC"/>
    <w:rsid w:val="41C714E0"/>
    <w:rsid w:val="41CC4217"/>
    <w:rsid w:val="41D930ED"/>
    <w:rsid w:val="41D94DCA"/>
    <w:rsid w:val="41E43A68"/>
    <w:rsid w:val="41EE6675"/>
    <w:rsid w:val="41F3522E"/>
    <w:rsid w:val="41F76F9C"/>
    <w:rsid w:val="41FA6570"/>
    <w:rsid w:val="41FC39A1"/>
    <w:rsid w:val="420158AB"/>
    <w:rsid w:val="420617BE"/>
    <w:rsid w:val="420F47E4"/>
    <w:rsid w:val="42100448"/>
    <w:rsid w:val="42135963"/>
    <w:rsid w:val="4216146A"/>
    <w:rsid w:val="421701D4"/>
    <w:rsid w:val="421B4929"/>
    <w:rsid w:val="421F14F1"/>
    <w:rsid w:val="42222E78"/>
    <w:rsid w:val="422A7BDA"/>
    <w:rsid w:val="422E7E09"/>
    <w:rsid w:val="42350099"/>
    <w:rsid w:val="423526EF"/>
    <w:rsid w:val="423529F9"/>
    <w:rsid w:val="423B2241"/>
    <w:rsid w:val="42441D89"/>
    <w:rsid w:val="424A614B"/>
    <w:rsid w:val="424C5630"/>
    <w:rsid w:val="427908DA"/>
    <w:rsid w:val="42797C5F"/>
    <w:rsid w:val="42803A7E"/>
    <w:rsid w:val="428656C0"/>
    <w:rsid w:val="428A301F"/>
    <w:rsid w:val="42A63D52"/>
    <w:rsid w:val="42AF213F"/>
    <w:rsid w:val="42B17897"/>
    <w:rsid w:val="42BD175A"/>
    <w:rsid w:val="42E85022"/>
    <w:rsid w:val="42E919F6"/>
    <w:rsid w:val="42FF0A9F"/>
    <w:rsid w:val="430172BD"/>
    <w:rsid w:val="43090887"/>
    <w:rsid w:val="430C56A5"/>
    <w:rsid w:val="43174D08"/>
    <w:rsid w:val="43193D63"/>
    <w:rsid w:val="432214A9"/>
    <w:rsid w:val="4327085D"/>
    <w:rsid w:val="43347543"/>
    <w:rsid w:val="43361255"/>
    <w:rsid w:val="433A072B"/>
    <w:rsid w:val="433E55F2"/>
    <w:rsid w:val="435103A9"/>
    <w:rsid w:val="43530E50"/>
    <w:rsid w:val="43586AF4"/>
    <w:rsid w:val="435973AC"/>
    <w:rsid w:val="435C1685"/>
    <w:rsid w:val="435C2447"/>
    <w:rsid w:val="435F4FCC"/>
    <w:rsid w:val="43617A6C"/>
    <w:rsid w:val="436D56A3"/>
    <w:rsid w:val="436F7F55"/>
    <w:rsid w:val="437C496F"/>
    <w:rsid w:val="43804269"/>
    <w:rsid w:val="43883710"/>
    <w:rsid w:val="438D4F9C"/>
    <w:rsid w:val="43A87E79"/>
    <w:rsid w:val="43AA4BA9"/>
    <w:rsid w:val="43B644F9"/>
    <w:rsid w:val="43B64EAD"/>
    <w:rsid w:val="43DB367E"/>
    <w:rsid w:val="43EC3176"/>
    <w:rsid w:val="43F17735"/>
    <w:rsid w:val="440801CE"/>
    <w:rsid w:val="441372B5"/>
    <w:rsid w:val="4425576A"/>
    <w:rsid w:val="442B2203"/>
    <w:rsid w:val="444E3572"/>
    <w:rsid w:val="44502FBF"/>
    <w:rsid w:val="44543680"/>
    <w:rsid w:val="445C1939"/>
    <w:rsid w:val="44720461"/>
    <w:rsid w:val="4476737B"/>
    <w:rsid w:val="44774F62"/>
    <w:rsid w:val="447E1087"/>
    <w:rsid w:val="448318E4"/>
    <w:rsid w:val="448679C8"/>
    <w:rsid w:val="44A17E5F"/>
    <w:rsid w:val="44AC5D76"/>
    <w:rsid w:val="44AD1852"/>
    <w:rsid w:val="44B00772"/>
    <w:rsid w:val="44B4638E"/>
    <w:rsid w:val="44E043E0"/>
    <w:rsid w:val="44E81740"/>
    <w:rsid w:val="44EB5B57"/>
    <w:rsid w:val="44F1430D"/>
    <w:rsid w:val="44F54A3E"/>
    <w:rsid w:val="45063C30"/>
    <w:rsid w:val="45123BFF"/>
    <w:rsid w:val="451B0E47"/>
    <w:rsid w:val="4526588C"/>
    <w:rsid w:val="453764BB"/>
    <w:rsid w:val="4537769B"/>
    <w:rsid w:val="453E6D75"/>
    <w:rsid w:val="455705B7"/>
    <w:rsid w:val="455A0499"/>
    <w:rsid w:val="455C1F68"/>
    <w:rsid w:val="455F5F91"/>
    <w:rsid w:val="456420F2"/>
    <w:rsid w:val="45664807"/>
    <w:rsid w:val="456E2DBF"/>
    <w:rsid w:val="456F1BB6"/>
    <w:rsid w:val="45716EE0"/>
    <w:rsid w:val="457576EE"/>
    <w:rsid w:val="457B10D7"/>
    <w:rsid w:val="45A27762"/>
    <w:rsid w:val="45B10043"/>
    <w:rsid w:val="45B37026"/>
    <w:rsid w:val="45C87655"/>
    <w:rsid w:val="45C92683"/>
    <w:rsid w:val="45CB27D1"/>
    <w:rsid w:val="45D2682B"/>
    <w:rsid w:val="45DB589E"/>
    <w:rsid w:val="45F61974"/>
    <w:rsid w:val="45FA03DD"/>
    <w:rsid w:val="45FD3757"/>
    <w:rsid w:val="46137043"/>
    <w:rsid w:val="461F610E"/>
    <w:rsid w:val="46253A9C"/>
    <w:rsid w:val="46424A14"/>
    <w:rsid w:val="465D62E2"/>
    <w:rsid w:val="466200B4"/>
    <w:rsid w:val="4662546C"/>
    <w:rsid w:val="46773DB8"/>
    <w:rsid w:val="467764AD"/>
    <w:rsid w:val="468867C4"/>
    <w:rsid w:val="469940A0"/>
    <w:rsid w:val="46A03749"/>
    <w:rsid w:val="46A05AEC"/>
    <w:rsid w:val="46A1628E"/>
    <w:rsid w:val="46A63686"/>
    <w:rsid w:val="46AA0A45"/>
    <w:rsid w:val="46AC59E9"/>
    <w:rsid w:val="46AE0F9F"/>
    <w:rsid w:val="46AE4483"/>
    <w:rsid w:val="46BF133B"/>
    <w:rsid w:val="46DB6E4C"/>
    <w:rsid w:val="470A3DF5"/>
    <w:rsid w:val="470C1D8F"/>
    <w:rsid w:val="471B2B71"/>
    <w:rsid w:val="471C52DE"/>
    <w:rsid w:val="472356EA"/>
    <w:rsid w:val="47243D12"/>
    <w:rsid w:val="473B522D"/>
    <w:rsid w:val="473D439A"/>
    <w:rsid w:val="474071B6"/>
    <w:rsid w:val="47575B0F"/>
    <w:rsid w:val="476C09D1"/>
    <w:rsid w:val="477972EF"/>
    <w:rsid w:val="477B483D"/>
    <w:rsid w:val="47814F7D"/>
    <w:rsid w:val="478B7E21"/>
    <w:rsid w:val="47997EC5"/>
    <w:rsid w:val="479C7D79"/>
    <w:rsid w:val="479D2BF8"/>
    <w:rsid w:val="479E3CCE"/>
    <w:rsid w:val="47A31357"/>
    <w:rsid w:val="47A7746C"/>
    <w:rsid w:val="47B07CBD"/>
    <w:rsid w:val="47BF03A9"/>
    <w:rsid w:val="47BF76A8"/>
    <w:rsid w:val="47C537C6"/>
    <w:rsid w:val="47C575A7"/>
    <w:rsid w:val="47CD5C3A"/>
    <w:rsid w:val="47DD7793"/>
    <w:rsid w:val="47DE48BD"/>
    <w:rsid w:val="47FD569A"/>
    <w:rsid w:val="4801628D"/>
    <w:rsid w:val="480F0EA9"/>
    <w:rsid w:val="48186987"/>
    <w:rsid w:val="481D6F8B"/>
    <w:rsid w:val="48265B89"/>
    <w:rsid w:val="482A5B8A"/>
    <w:rsid w:val="48346ED5"/>
    <w:rsid w:val="484249E7"/>
    <w:rsid w:val="48432DD0"/>
    <w:rsid w:val="484C5486"/>
    <w:rsid w:val="48566074"/>
    <w:rsid w:val="48750720"/>
    <w:rsid w:val="48751892"/>
    <w:rsid w:val="487955F3"/>
    <w:rsid w:val="487C2775"/>
    <w:rsid w:val="488529BA"/>
    <w:rsid w:val="489433AE"/>
    <w:rsid w:val="489901C9"/>
    <w:rsid w:val="4899162A"/>
    <w:rsid w:val="48A30128"/>
    <w:rsid w:val="48BC5BC7"/>
    <w:rsid w:val="48BC7F11"/>
    <w:rsid w:val="48C0711D"/>
    <w:rsid w:val="48C258FF"/>
    <w:rsid w:val="48C40802"/>
    <w:rsid w:val="48CB0A90"/>
    <w:rsid w:val="48D56CE4"/>
    <w:rsid w:val="48E24EED"/>
    <w:rsid w:val="48E3716D"/>
    <w:rsid w:val="48E40D48"/>
    <w:rsid w:val="48EE3D3F"/>
    <w:rsid w:val="48F907C1"/>
    <w:rsid w:val="49040C55"/>
    <w:rsid w:val="49050385"/>
    <w:rsid w:val="490832B3"/>
    <w:rsid w:val="49197704"/>
    <w:rsid w:val="491C667D"/>
    <w:rsid w:val="49226695"/>
    <w:rsid w:val="492350D7"/>
    <w:rsid w:val="492F632F"/>
    <w:rsid w:val="49332A20"/>
    <w:rsid w:val="49334B40"/>
    <w:rsid w:val="49363AA4"/>
    <w:rsid w:val="494F3659"/>
    <w:rsid w:val="495A2163"/>
    <w:rsid w:val="495C67D2"/>
    <w:rsid w:val="495F7C22"/>
    <w:rsid w:val="496516EF"/>
    <w:rsid w:val="49682A3B"/>
    <w:rsid w:val="496975C6"/>
    <w:rsid w:val="496E04CF"/>
    <w:rsid w:val="496F04B2"/>
    <w:rsid w:val="496F13B9"/>
    <w:rsid w:val="49755380"/>
    <w:rsid w:val="497751F9"/>
    <w:rsid w:val="498276CB"/>
    <w:rsid w:val="49836455"/>
    <w:rsid w:val="49840018"/>
    <w:rsid w:val="49B03D33"/>
    <w:rsid w:val="49B41C4E"/>
    <w:rsid w:val="49BD1345"/>
    <w:rsid w:val="49BE4C21"/>
    <w:rsid w:val="49CC7462"/>
    <w:rsid w:val="49DC04AC"/>
    <w:rsid w:val="49E05764"/>
    <w:rsid w:val="49E66249"/>
    <w:rsid w:val="49FA606E"/>
    <w:rsid w:val="49FC24B9"/>
    <w:rsid w:val="49FE2B57"/>
    <w:rsid w:val="4A007D5D"/>
    <w:rsid w:val="4A014788"/>
    <w:rsid w:val="4A1F0F46"/>
    <w:rsid w:val="4A235541"/>
    <w:rsid w:val="4A264E9D"/>
    <w:rsid w:val="4A3B0775"/>
    <w:rsid w:val="4A3B6D2F"/>
    <w:rsid w:val="4A4D754E"/>
    <w:rsid w:val="4A6E4FFE"/>
    <w:rsid w:val="4A705453"/>
    <w:rsid w:val="4A73099D"/>
    <w:rsid w:val="4A767D18"/>
    <w:rsid w:val="4A773B4B"/>
    <w:rsid w:val="4A8717ED"/>
    <w:rsid w:val="4A8A692E"/>
    <w:rsid w:val="4A8F71B5"/>
    <w:rsid w:val="4A914E4F"/>
    <w:rsid w:val="4A967BC8"/>
    <w:rsid w:val="4AA224FD"/>
    <w:rsid w:val="4AB1205E"/>
    <w:rsid w:val="4AB16FF2"/>
    <w:rsid w:val="4ACE24FE"/>
    <w:rsid w:val="4ACE6531"/>
    <w:rsid w:val="4AD6218E"/>
    <w:rsid w:val="4ADE44AF"/>
    <w:rsid w:val="4AE72B77"/>
    <w:rsid w:val="4AED73F7"/>
    <w:rsid w:val="4B0B130F"/>
    <w:rsid w:val="4B0F23E7"/>
    <w:rsid w:val="4B1529F1"/>
    <w:rsid w:val="4B174C33"/>
    <w:rsid w:val="4B17544B"/>
    <w:rsid w:val="4B184832"/>
    <w:rsid w:val="4B2256A8"/>
    <w:rsid w:val="4B2518B1"/>
    <w:rsid w:val="4B333A8A"/>
    <w:rsid w:val="4B4018D8"/>
    <w:rsid w:val="4B485400"/>
    <w:rsid w:val="4B490F11"/>
    <w:rsid w:val="4B4D5C66"/>
    <w:rsid w:val="4B4E0E97"/>
    <w:rsid w:val="4B4F1716"/>
    <w:rsid w:val="4B51726A"/>
    <w:rsid w:val="4B5471DA"/>
    <w:rsid w:val="4B5D1CC4"/>
    <w:rsid w:val="4B770390"/>
    <w:rsid w:val="4B795423"/>
    <w:rsid w:val="4B7A6D03"/>
    <w:rsid w:val="4B7F62CD"/>
    <w:rsid w:val="4B886CB2"/>
    <w:rsid w:val="4B8873E9"/>
    <w:rsid w:val="4B8970F9"/>
    <w:rsid w:val="4B956B4F"/>
    <w:rsid w:val="4B9865C6"/>
    <w:rsid w:val="4B9A1300"/>
    <w:rsid w:val="4B9B68E0"/>
    <w:rsid w:val="4BAD7994"/>
    <w:rsid w:val="4BB71947"/>
    <w:rsid w:val="4BBB016A"/>
    <w:rsid w:val="4BC42FE1"/>
    <w:rsid w:val="4BC75D05"/>
    <w:rsid w:val="4BC90A3C"/>
    <w:rsid w:val="4BCA6C41"/>
    <w:rsid w:val="4BCC1B0E"/>
    <w:rsid w:val="4BCD1A37"/>
    <w:rsid w:val="4BCD35D3"/>
    <w:rsid w:val="4BD03231"/>
    <w:rsid w:val="4BE967A3"/>
    <w:rsid w:val="4BF27A04"/>
    <w:rsid w:val="4BF37B6F"/>
    <w:rsid w:val="4BF4545D"/>
    <w:rsid w:val="4C051637"/>
    <w:rsid w:val="4C06616E"/>
    <w:rsid w:val="4C0E2E05"/>
    <w:rsid w:val="4C144B99"/>
    <w:rsid w:val="4C1457CB"/>
    <w:rsid w:val="4C170559"/>
    <w:rsid w:val="4C1E6ED9"/>
    <w:rsid w:val="4C532A7B"/>
    <w:rsid w:val="4C586424"/>
    <w:rsid w:val="4C58761D"/>
    <w:rsid w:val="4C5E2BC2"/>
    <w:rsid w:val="4C6145C2"/>
    <w:rsid w:val="4C631B64"/>
    <w:rsid w:val="4C807432"/>
    <w:rsid w:val="4C827ADE"/>
    <w:rsid w:val="4C8C500B"/>
    <w:rsid w:val="4C910569"/>
    <w:rsid w:val="4C9B50F3"/>
    <w:rsid w:val="4CB13D44"/>
    <w:rsid w:val="4CB455A9"/>
    <w:rsid w:val="4CDB00B1"/>
    <w:rsid w:val="4CFA2D39"/>
    <w:rsid w:val="4CFE6E13"/>
    <w:rsid w:val="4D09018C"/>
    <w:rsid w:val="4D0A596C"/>
    <w:rsid w:val="4D1C1318"/>
    <w:rsid w:val="4D260431"/>
    <w:rsid w:val="4D271689"/>
    <w:rsid w:val="4D2C555D"/>
    <w:rsid w:val="4D32776E"/>
    <w:rsid w:val="4D437043"/>
    <w:rsid w:val="4D487E16"/>
    <w:rsid w:val="4D4F6789"/>
    <w:rsid w:val="4D512605"/>
    <w:rsid w:val="4D860DFA"/>
    <w:rsid w:val="4D953F2E"/>
    <w:rsid w:val="4D9B176A"/>
    <w:rsid w:val="4D9F479C"/>
    <w:rsid w:val="4DAC0911"/>
    <w:rsid w:val="4DB64C37"/>
    <w:rsid w:val="4DBF37D4"/>
    <w:rsid w:val="4DC106BE"/>
    <w:rsid w:val="4DE33D44"/>
    <w:rsid w:val="4DE36287"/>
    <w:rsid w:val="4DE7537B"/>
    <w:rsid w:val="4DEC47DA"/>
    <w:rsid w:val="4DFA23F6"/>
    <w:rsid w:val="4E140649"/>
    <w:rsid w:val="4E15496C"/>
    <w:rsid w:val="4E16579C"/>
    <w:rsid w:val="4E290B5D"/>
    <w:rsid w:val="4E2E73A4"/>
    <w:rsid w:val="4E3B3330"/>
    <w:rsid w:val="4E3B59A5"/>
    <w:rsid w:val="4E42726E"/>
    <w:rsid w:val="4E457419"/>
    <w:rsid w:val="4E4B1A17"/>
    <w:rsid w:val="4E512DDD"/>
    <w:rsid w:val="4E5E09E9"/>
    <w:rsid w:val="4E61397D"/>
    <w:rsid w:val="4E79128E"/>
    <w:rsid w:val="4E8233FB"/>
    <w:rsid w:val="4E8B4172"/>
    <w:rsid w:val="4E9A3216"/>
    <w:rsid w:val="4EB44CB1"/>
    <w:rsid w:val="4ECF7936"/>
    <w:rsid w:val="4ED52A96"/>
    <w:rsid w:val="4ED673C9"/>
    <w:rsid w:val="4EE47996"/>
    <w:rsid w:val="4EE640F5"/>
    <w:rsid w:val="4EF55513"/>
    <w:rsid w:val="4F0339E5"/>
    <w:rsid w:val="4F0F76EF"/>
    <w:rsid w:val="4F3268BD"/>
    <w:rsid w:val="4F3A637C"/>
    <w:rsid w:val="4F457B3B"/>
    <w:rsid w:val="4F505E0E"/>
    <w:rsid w:val="4F510A22"/>
    <w:rsid w:val="4F522C64"/>
    <w:rsid w:val="4F6133BD"/>
    <w:rsid w:val="4F6831B6"/>
    <w:rsid w:val="4F6852C3"/>
    <w:rsid w:val="4F8F7CB0"/>
    <w:rsid w:val="4F98198E"/>
    <w:rsid w:val="4FA30DFB"/>
    <w:rsid w:val="4FA929AF"/>
    <w:rsid w:val="4FB96EAC"/>
    <w:rsid w:val="4FC654EF"/>
    <w:rsid w:val="4FCA70C8"/>
    <w:rsid w:val="4FD20C8E"/>
    <w:rsid w:val="4FE4445C"/>
    <w:rsid w:val="4FE84374"/>
    <w:rsid w:val="4FF25607"/>
    <w:rsid w:val="4FF45606"/>
    <w:rsid w:val="4FF903BE"/>
    <w:rsid w:val="4FF9595D"/>
    <w:rsid w:val="4FFF76EC"/>
    <w:rsid w:val="5001747E"/>
    <w:rsid w:val="50330EFA"/>
    <w:rsid w:val="505521CD"/>
    <w:rsid w:val="50586648"/>
    <w:rsid w:val="505A1A90"/>
    <w:rsid w:val="506C09B1"/>
    <w:rsid w:val="506E2BAE"/>
    <w:rsid w:val="50756476"/>
    <w:rsid w:val="50775708"/>
    <w:rsid w:val="509B6410"/>
    <w:rsid w:val="509E2AA4"/>
    <w:rsid w:val="50AB358C"/>
    <w:rsid w:val="50BD55B5"/>
    <w:rsid w:val="50D42858"/>
    <w:rsid w:val="50EC1791"/>
    <w:rsid w:val="50F02737"/>
    <w:rsid w:val="50FF595F"/>
    <w:rsid w:val="51036E8E"/>
    <w:rsid w:val="5105317E"/>
    <w:rsid w:val="512D2E5B"/>
    <w:rsid w:val="513247BA"/>
    <w:rsid w:val="513870EA"/>
    <w:rsid w:val="513E223C"/>
    <w:rsid w:val="51445AA0"/>
    <w:rsid w:val="5144715B"/>
    <w:rsid w:val="51492DD2"/>
    <w:rsid w:val="51606046"/>
    <w:rsid w:val="51693BE2"/>
    <w:rsid w:val="516C3C9D"/>
    <w:rsid w:val="51730413"/>
    <w:rsid w:val="51795AE5"/>
    <w:rsid w:val="5179614F"/>
    <w:rsid w:val="51975CEA"/>
    <w:rsid w:val="51D876D4"/>
    <w:rsid w:val="51E735BA"/>
    <w:rsid w:val="51E74081"/>
    <w:rsid w:val="51E81369"/>
    <w:rsid w:val="51EC4E16"/>
    <w:rsid w:val="51EE6B45"/>
    <w:rsid w:val="52025AE9"/>
    <w:rsid w:val="520272E1"/>
    <w:rsid w:val="520C15AA"/>
    <w:rsid w:val="520C3C80"/>
    <w:rsid w:val="52105CFA"/>
    <w:rsid w:val="52225ED6"/>
    <w:rsid w:val="52232BE2"/>
    <w:rsid w:val="522676EF"/>
    <w:rsid w:val="522D6DD8"/>
    <w:rsid w:val="5234276C"/>
    <w:rsid w:val="523A7BC8"/>
    <w:rsid w:val="52415B7D"/>
    <w:rsid w:val="52553407"/>
    <w:rsid w:val="525A23E2"/>
    <w:rsid w:val="526E3B3B"/>
    <w:rsid w:val="527035B8"/>
    <w:rsid w:val="527A5EE5"/>
    <w:rsid w:val="527A64BA"/>
    <w:rsid w:val="528129F8"/>
    <w:rsid w:val="52874F6A"/>
    <w:rsid w:val="52883B85"/>
    <w:rsid w:val="5294326C"/>
    <w:rsid w:val="529E75FD"/>
    <w:rsid w:val="52A62E45"/>
    <w:rsid w:val="52AF64F8"/>
    <w:rsid w:val="52B12F37"/>
    <w:rsid w:val="52BA329F"/>
    <w:rsid w:val="52BB7365"/>
    <w:rsid w:val="52C0341B"/>
    <w:rsid w:val="52C30C77"/>
    <w:rsid w:val="52CF2E4F"/>
    <w:rsid w:val="52D75EB4"/>
    <w:rsid w:val="52E17BE2"/>
    <w:rsid w:val="52F20312"/>
    <w:rsid w:val="52F4390D"/>
    <w:rsid w:val="53083527"/>
    <w:rsid w:val="53105391"/>
    <w:rsid w:val="5311495E"/>
    <w:rsid w:val="53212F27"/>
    <w:rsid w:val="53234DF2"/>
    <w:rsid w:val="53340C14"/>
    <w:rsid w:val="53385AA2"/>
    <w:rsid w:val="533C0301"/>
    <w:rsid w:val="53410D72"/>
    <w:rsid w:val="53475CB0"/>
    <w:rsid w:val="535512B4"/>
    <w:rsid w:val="53554DB7"/>
    <w:rsid w:val="53576937"/>
    <w:rsid w:val="535B0A5C"/>
    <w:rsid w:val="53682021"/>
    <w:rsid w:val="536916B0"/>
    <w:rsid w:val="53771F72"/>
    <w:rsid w:val="53857970"/>
    <w:rsid w:val="53884C09"/>
    <w:rsid w:val="53982B73"/>
    <w:rsid w:val="53997AAA"/>
    <w:rsid w:val="539C3F56"/>
    <w:rsid w:val="53A36D07"/>
    <w:rsid w:val="53A86AF9"/>
    <w:rsid w:val="53B13531"/>
    <w:rsid w:val="53BB6A7C"/>
    <w:rsid w:val="53BE447F"/>
    <w:rsid w:val="53BE4D31"/>
    <w:rsid w:val="53C120DE"/>
    <w:rsid w:val="53C51418"/>
    <w:rsid w:val="53D043F3"/>
    <w:rsid w:val="53D60624"/>
    <w:rsid w:val="53DD34CA"/>
    <w:rsid w:val="53E973DA"/>
    <w:rsid w:val="53EE7778"/>
    <w:rsid w:val="53EF10EF"/>
    <w:rsid w:val="53F11ED2"/>
    <w:rsid w:val="53F143DB"/>
    <w:rsid w:val="53F52B1D"/>
    <w:rsid w:val="53F77C52"/>
    <w:rsid w:val="53F96D7F"/>
    <w:rsid w:val="53FE00CC"/>
    <w:rsid w:val="54017168"/>
    <w:rsid w:val="5409062D"/>
    <w:rsid w:val="54097D91"/>
    <w:rsid w:val="54136F1E"/>
    <w:rsid w:val="542239FC"/>
    <w:rsid w:val="542C4875"/>
    <w:rsid w:val="54322DA3"/>
    <w:rsid w:val="5434611E"/>
    <w:rsid w:val="544028A4"/>
    <w:rsid w:val="545240C4"/>
    <w:rsid w:val="54571EFF"/>
    <w:rsid w:val="54635EC0"/>
    <w:rsid w:val="54713D42"/>
    <w:rsid w:val="547348B6"/>
    <w:rsid w:val="547D5423"/>
    <w:rsid w:val="54815359"/>
    <w:rsid w:val="548B56F2"/>
    <w:rsid w:val="54903272"/>
    <w:rsid w:val="54A90412"/>
    <w:rsid w:val="54BB1C2B"/>
    <w:rsid w:val="54BC176E"/>
    <w:rsid w:val="54C44B69"/>
    <w:rsid w:val="54C51383"/>
    <w:rsid w:val="54C7638F"/>
    <w:rsid w:val="54C8577B"/>
    <w:rsid w:val="54D0461D"/>
    <w:rsid w:val="54D61A88"/>
    <w:rsid w:val="54DB11C5"/>
    <w:rsid w:val="54E44B7F"/>
    <w:rsid w:val="54ED3778"/>
    <w:rsid w:val="54EF2695"/>
    <w:rsid w:val="54F63254"/>
    <w:rsid w:val="550A7799"/>
    <w:rsid w:val="550B70B8"/>
    <w:rsid w:val="550C1B78"/>
    <w:rsid w:val="551051FE"/>
    <w:rsid w:val="551B1F9F"/>
    <w:rsid w:val="55292590"/>
    <w:rsid w:val="552F37D0"/>
    <w:rsid w:val="5538743E"/>
    <w:rsid w:val="553C57C6"/>
    <w:rsid w:val="55423540"/>
    <w:rsid w:val="55432F3C"/>
    <w:rsid w:val="55502BE5"/>
    <w:rsid w:val="5559450E"/>
    <w:rsid w:val="555C4C74"/>
    <w:rsid w:val="555E13F9"/>
    <w:rsid w:val="55655967"/>
    <w:rsid w:val="556961F1"/>
    <w:rsid w:val="55701BE2"/>
    <w:rsid w:val="558843E1"/>
    <w:rsid w:val="558F410C"/>
    <w:rsid w:val="559038B3"/>
    <w:rsid w:val="559E4E38"/>
    <w:rsid w:val="55A05BE6"/>
    <w:rsid w:val="55A80099"/>
    <w:rsid w:val="55C50B7C"/>
    <w:rsid w:val="55D23DAA"/>
    <w:rsid w:val="55D43EDD"/>
    <w:rsid w:val="55D5006E"/>
    <w:rsid w:val="55DD3629"/>
    <w:rsid w:val="55E356AB"/>
    <w:rsid w:val="55F22AC8"/>
    <w:rsid w:val="55F34943"/>
    <w:rsid w:val="55F52D91"/>
    <w:rsid w:val="55FC5596"/>
    <w:rsid w:val="55FD73FB"/>
    <w:rsid w:val="55FF675B"/>
    <w:rsid w:val="56037855"/>
    <w:rsid w:val="56136A9D"/>
    <w:rsid w:val="561E609F"/>
    <w:rsid w:val="56342DA7"/>
    <w:rsid w:val="56353887"/>
    <w:rsid w:val="56356C9A"/>
    <w:rsid w:val="563D7D3A"/>
    <w:rsid w:val="56427DD3"/>
    <w:rsid w:val="56586F65"/>
    <w:rsid w:val="56602BF9"/>
    <w:rsid w:val="56750A47"/>
    <w:rsid w:val="568602C4"/>
    <w:rsid w:val="568D2BE5"/>
    <w:rsid w:val="568E322F"/>
    <w:rsid w:val="56A45E1B"/>
    <w:rsid w:val="56A64D2E"/>
    <w:rsid w:val="56BE3554"/>
    <w:rsid w:val="56D30863"/>
    <w:rsid w:val="56DB06E2"/>
    <w:rsid w:val="56E2173A"/>
    <w:rsid w:val="56E221F7"/>
    <w:rsid w:val="56EB4EC2"/>
    <w:rsid w:val="56F83205"/>
    <w:rsid w:val="57035150"/>
    <w:rsid w:val="570747D5"/>
    <w:rsid w:val="57204686"/>
    <w:rsid w:val="572E2B44"/>
    <w:rsid w:val="573C3FC0"/>
    <w:rsid w:val="573D718D"/>
    <w:rsid w:val="57453168"/>
    <w:rsid w:val="57552766"/>
    <w:rsid w:val="576C33D4"/>
    <w:rsid w:val="578147E9"/>
    <w:rsid w:val="57886C03"/>
    <w:rsid w:val="57A203A6"/>
    <w:rsid w:val="57C418FF"/>
    <w:rsid w:val="57C569BB"/>
    <w:rsid w:val="57C84E47"/>
    <w:rsid w:val="57DD2297"/>
    <w:rsid w:val="57DF2271"/>
    <w:rsid w:val="57F3693E"/>
    <w:rsid w:val="57F66960"/>
    <w:rsid w:val="57FA0EC0"/>
    <w:rsid w:val="57FA5C2A"/>
    <w:rsid w:val="57FD6D67"/>
    <w:rsid w:val="580D1E46"/>
    <w:rsid w:val="58170C35"/>
    <w:rsid w:val="582A099E"/>
    <w:rsid w:val="5839434B"/>
    <w:rsid w:val="583B0946"/>
    <w:rsid w:val="583B4335"/>
    <w:rsid w:val="583F46F6"/>
    <w:rsid w:val="58426A8E"/>
    <w:rsid w:val="58465EE4"/>
    <w:rsid w:val="5851036F"/>
    <w:rsid w:val="58672C75"/>
    <w:rsid w:val="58751B7C"/>
    <w:rsid w:val="5899243A"/>
    <w:rsid w:val="58A24153"/>
    <w:rsid w:val="58AB5017"/>
    <w:rsid w:val="58AE066C"/>
    <w:rsid w:val="58CE716B"/>
    <w:rsid w:val="58D26B5D"/>
    <w:rsid w:val="58E061B9"/>
    <w:rsid w:val="58E839F7"/>
    <w:rsid w:val="58EE0721"/>
    <w:rsid w:val="58F72237"/>
    <w:rsid w:val="58F81B26"/>
    <w:rsid w:val="58FB7F6B"/>
    <w:rsid w:val="59067559"/>
    <w:rsid w:val="59196AA9"/>
    <w:rsid w:val="592009AC"/>
    <w:rsid w:val="5922600E"/>
    <w:rsid w:val="592B03DB"/>
    <w:rsid w:val="59315C54"/>
    <w:rsid w:val="59385E51"/>
    <w:rsid w:val="59392B49"/>
    <w:rsid w:val="593E512C"/>
    <w:rsid w:val="594246E9"/>
    <w:rsid w:val="59502DF6"/>
    <w:rsid w:val="595D4653"/>
    <w:rsid w:val="5960329A"/>
    <w:rsid w:val="5961486F"/>
    <w:rsid w:val="596B4D0F"/>
    <w:rsid w:val="597A54F1"/>
    <w:rsid w:val="59816A17"/>
    <w:rsid w:val="59846A71"/>
    <w:rsid w:val="598727EB"/>
    <w:rsid w:val="59880A58"/>
    <w:rsid w:val="598A1EAA"/>
    <w:rsid w:val="59B55B3E"/>
    <w:rsid w:val="59B95758"/>
    <w:rsid w:val="59BA4A88"/>
    <w:rsid w:val="59BB2D00"/>
    <w:rsid w:val="59BE7035"/>
    <w:rsid w:val="59C7442D"/>
    <w:rsid w:val="59D44587"/>
    <w:rsid w:val="59D47F66"/>
    <w:rsid w:val="59DD1765"/>
    <w:rsid w:val="59E4575B"/>
    <w:rsid w:val="59F45004"/>
    <w:rsid w:val="59FA48F6"/>
    <w:rsid w:val="5A026420"/>
    <w:rsid w:val="5A061869"/>
    <w:rsid w:val="5A0B6519"/>
    <w:rsid w:val="5A13765E"/>
    <w:rsid w:val="5A171733"/>
    <w:rsid w:val="5A18193B"/>
    <w:rsid w:val="5A190B69"/>
    <w:rsid w:val="5A1D3A26"/>
    <w:rsid w:val="5A3D7FAF"/>
    <w:rsid w:val="5A506F7A"/>
    <w:rsid w:val="5A5E2482"/>
    <w:rsid w:val="5A6203F9"/>
    <w:rsid w:val="5A626ACF"/>
    <w:rsid w:val="5A77528B"/>
    <w:rsid w:val="5A797CBF"/>
    <w:rsid w:val="5A7E3C99"/>
    <w:rsid w:val="5A846622"/>
    <w:rsid w:val="5A881A68"/>
    <w:rsid w:val="5A9B4DE1"/>
    <w:rsid w:val="5AA741A5"/>
    <w:rsid w:val="5AAC3456"/>
    <w:rsid w:val="5AB64F68"/>
    <w:rsid w:val="5ABC7510"/>
    <w:rsid w:val="5AD024DD"/>
    <w:rsid w:val="5AE31331"/>
    <w:rsid w:val="5AE35907"/>
    <w:rsid w:val="5AEE1D0D"/>
    <w:rsid w:val="5AF80583"/>
    <w:rsid w:val="5AF903EB"/>
    <w:rsid w:val="5AFC7EA2"/>
    <w:rsid w:val="5B142B20"/>
    <w:rsid w:val="5B154DE1"/>
    <w:rsid w:val="5B156166"/>
    <w:rsid w:val="5B177826"/>
    <w:rsid w:val="5B181077"/>
    <w:rsid w:val="5B223666"/>
    <w:rsid w:val="5B306AA7"/>
    <w:rsid w:val="5B3443EE"/>
    <w:rsid w:val="5B4624CB"/>
    <w:rsid w:val="5B526E57"/>
    <w:rsid w:val="5B5A5FD5"/>
    <w:rsid w:val="5B621A5D"/>
    <w:rsid w:val="5B72658E"/>
    <w:rsid w:val="5B812CF4"/>
    <w:rsid w:val="5B83605B"/>
    <w:rsid w:val="5B875E72"/>
    <w:rsid w:val="5B8F429A"/>
    <w:rsid w:val="5B93640C"/>
    <w:rsid w:val="5BA44AED"/>
    <w:rsid w:val="5BB9086C"/>
    <w:rsid w:val="5BBE037C"/>
    <w:rsid w:val="5BC06747"/>
    <w:rsid w:val="5BC6165B"/>
    <w:rsid w:val="5BC65A41"/>
    <w:rsid w:val="5BD84986"/>
    <w:rsid w:val="5BEE48BF"/>
    <w:rsid w:val="5BF60CB0"/>
    <w:rsid w:val="5BF62881"/>
    <w:rsid w:val="5C0D0FE5"/>
    <w:rsid w:val="5C267A8C"/>
    <w:rsid w:val="5C271C78"/>
    <w:rsid w:val="5C3815F4"/>
    <w:rsid w:val="5C397889"/>
    <w:rsid w:val="5C4240FC"/>
    <w:rsid w:val="5C545761"/>
    <w:rsid w:val="5C5918C3"/>
    <w:rsid w:val="5C5943DA"/>
    <w:rsid w:val="5C6C3631"/>
    <w:rsid w:val="5C6E7675"/>
    <w:rsid w:val="5C776A08"/>
    <w:rsid w:val="5C7F525F"/>
    <w:rsid w:val="5C857559"/>
    <w:rsid w:val="5C8A4D00"/>
    <w:rsid w:val="5C94341D"/>
    <w:rsid w:val="5CA10238"/>
    <w:rsid w:val="5CAB545F"/>
    <w:rsid w:val="5CAE51CF"/>
    <w:rsid w:val="5CBD1469"/>
    <w:rsid w:val="5CC85A16"/>
    <w:rsid w:val="5CC90D55"/>
    <w:rsid w:val="5CCA1F3D"/>
    <w:rsid w:val="5CD0683B"/>
    <w:rsid w:val="5CE07D29"/>
    <w:rsid w:val="5D012271"/>
    <w:rsid w:val="5D084E1D"/>
    <w:rsid w:val="5D183CFA"/>
    <w:rsid w:val="5D1874E0"/>
    <w:rsid w:val="5D1C2AEA"/>
    <w:rsid w:val="5D2A342D"/>
    <w:rsid w:val="5D352C02"/>
    <w:rsid w:val="5D3746B4"/>
    <w:rsid w:val="5D392E9F"/>
    <w:rsid w:val="5D3D0911"/>
    <w:rsid w:val="5D49197A"/>
    <w:rsid w:val="5D4B16DA"/>
    <w:rsid w:val="5D4D7CA1"/>
    <w:rsid w:val="5D5110E8"/>
    <w:rsid w:val="5D5229F4"/>
    <w:rsid w:val="5D570CDB"/>
    <w:rsid w:val="5D6A39AB"/>
    <w:rsid w:val="5D6B218E"/>
    <w:rsid w:val="5D6B778D"/>
    <w:rsid w:val="5D777187"/>
    <w:rsid w:val="5D7A2E49"/>
    <w:rsid w:val="5D7D5AED"/>
    <w:rsid w:val="5DA90C13"/>
    <w:rsid w:val="5DAE50EA"/>
    <w:rsid w:val="5DB24B50"/>
    <w:rsid w:val="5DB36C56"/>
    <w:rsid w:val="5DBF6ECC"/>
    <w:rsid w:val="5DC80694"/>
    <w:rsid w:val="5DD02119"/>
    <w:rsid w:val="5DE018CC"/>
    <w:rsid w:val="5DE133D6"/>
    <w:rsid w:val="5DE55D8A"/>
    <w:rsid w:val="5DED6A8D"/>
    <w:rsid w:val="5DEF4F68"/>
    <w:rsid w:val="5DEF7705"/>
    <w:rsid w:val="5DFE492A"/>
    <w:rsid w:val="5E021F21"/>
    <w:rsid w:val="5E0E1D8F"/>
    <w:rsid w:val="5E1A09DE"/>
    <w:rsid w:val="5E1C286E"/>
    <w:rsid w:val="5E2C7DBC"/>
    <w:rsid w:val="5E35086D"/>
    <w:rsid w:val="5E3B7733"/>
    <w:rsid w:val="5E3C4126"/>
    <w:rsid w:val="5E4567E1"/>
    <w:rsid w:val="5E5603A6"/>
    <w:rsid w:val="5E6500BA"/>
    <w:rsid w:val="5E6B3CBC"/>
    <w:rsid w:val="5E726935"/>
    <w:rsid w:val="5E7A5C94"/>
    <w:rsid w:val="5E7D5299"/>
    <w:rsid w:val="5E8126F4"/>
    <w:rsid w:val="5E817415"/>
    <w:rsid w:val="5E89762D"/>
    <w:rsid w:val="5E9963A8"/>
    <w:rsid w:val="5EA15C3E"/>
    <w:rsid w:val="5ECA6309"/>
    <w:rsid w:val="5ECE0520"/>
    <w:rsid w:val="5ED202EB"/>
    <w:rsid w:val="5ED97F0C"/>
    <w:rsid w:val="5EDF4318"/>
    <w:rsid w:val="5EEF3E1C"/>
    <w:rsid w:val="5F041FA5"/>
    <w:rsid w:val="5F055CBA"/>
    <w:rsid w:val="5F161738"/>
    <w:rsid w:val="5F1D4021"/>
    <w:rsid w:val="5F460BB6"/>
    <w:rsid w:val="5F534F9D"/>
    <w:rsid w:val="5F5D3A8E"/>
    <w:rsid w:val="5F5F53E4"/>
    <w:rsid w:val="5F635415"/>
    <w:rsid w:val="5F667297"/>
    <w:rsid w:val="5F6F0566"/>
    <w:rsid w:val="5F75336D"/>
    <w:rsid w:val="5F7715DE"/>
    <w:rsid w:val="5F79739E"/>
    <w:rsid w:val="5F7D4318"/>
    <w:rsid w:val="5F7F44FB"/>
    <w:rsid w:val="5F865BB3"/>
    <w:rsid w:val="5F9C4A41"/>
    <w:rsid w:val="5FAD688A"/>
    <w:rsid w:val="5FB336A4"/>
    <w:rsid w:val="5FB82360"/>
    <w:rsid w:val="5FBF756C"/>
    <w:rsid w:val="5FC60CA6"/>
    <w:rsid w:val="5FD34D4E"/>
    <w:rsid w:val="5FD72181"/>
    <w:rsid w:val="5FE421EC"/>
    <w:rsid w:val="5FE97CB0"/>
    <w:rsid w:val="5FEA3A71"/>
    <w:rsid w:val="5FEC087C"/>
    <w:rsid w:val="5FED0C44"/>
    <w:rsid w:val="5FFB4F22"/>
    <w:rsid w:val="6001646C"/>
    <w:rsid w:val="600255FE"/>
    <w:rsid w:val="60040EC0"/>
    <w:rsid w:val="60096596"/>
    <w:rsid w:val="6012484A"/>
    <w:rsid w:val="60164F70"/>
    <w:rsid w:val="601978A1"/>
    <w:rsid w:val="601F545E"/>
    <w:rsid w:val="6027700D"/>
    <w:rsid w:val="602924FD"/>
    <w:rsid w:val="60333BF7"/>
    <w:rsid w:val="603C6D37"/>
    <w:rsid w:val="60565C7B"/>
    <w:rsid w:val="605B2D16"/>
    <w:rsid w:val="60621D2E"/>
    <w:rsid w:val="60662BC3"/>
    <w:rsid w:val="6089511E"/>
    <w:rsid w:val="608F32E0"/>
    <w:rsid w:val="609243BC"/>
    <w:rsid w:val="60A03EC1"/>
    <w:rsid w:val="60A7052B"/>
    <w:rsid w:val="60A76BCD"/>
    <w:rsid w:val="60AC1F01"/>
    <w:rsid w:val="60B11600"/>
    <w:rsid w:val="60BB3107"/>
    <w:rsid w:val="60BC087A"/>
    <w:rsid w:val="60CD50F5"/>
    <w:rsid w:val="60D60A31"/>
    <w:rsid w:val="60D81AEA"/>
    <w:rsid w:val="60DE502E"/>
    <w:rsid w:val="60FB59C1"/>
    <w:rsid w:val="60FF7AC8"/>
    <w:rsid w:val="6103320B"/>
    <w:rsid w:val="6110238E"/>
    <w:rsid w:val="61175ABC"/>
    <w:rsid w:val="611C7FBA"/>
    <w:rsid w:val="612257B5"/>
    <w:rsid w:val="612F3D3F"/>
    <w:rsid w:val="613174F9"/>
    <w:rsid w:val="61327F39"/>
    <w:rsid w:val="61354F57"/>
    <w:rsid w:val="613A20BF"/>
    <w:rsid w:val="613C799C"/>
    <w:rsid w:val="61446052"/>
    <w:rsid w:val="61564110"/>
    <w:rsid w:val="615A5E3D"/>
    <w:rsid w:val="616320E7"/>
    <w:rsid w:val="616A05DA"/>
    <w:rsid w:val="616A698E"/>
    <w:rsid w:val="61713611"/>
    <w:rsid w:val="618B1A24"/>
    <w:rsid w:val="619C1E94"/>
    <w:rsid w:val="619C6856"/>
    <w:rsid w:val="61C30FA6"/>
    <w:rsid w:val="61E532C7"/>
    <w:rsid w:val="61E6543F"/>
    <w:rsid w:val="61EB7464"/>
    <w:rsid w:val="61EE3A01"/>
    <w:rsid w:val="61EF5478"/>
    <w:rsid w:val="61F5736C"/>
    <w:rsid w:val="61F85A78"/>
    <w:rsid w:val="62007A05"/>
    <w:rsid w:val="62010B4E"/>
    <w:rsid w:val="62040ACF"/>
    <w:rsid w:val="62061E98"/>
    <w:rsid w:val="62181B6C"/>
    <w:rsid w:val="622D1890"/>
    <w:rsid w:val="62382912"/>
    <w:rsid w:val="623F61DD"/>
    <w:rsid w:val="62420929"/>
    <w:rsid w:val="624F2876"/>
    <w:rsid w:val="62552C12"/>
    <w:rsid w:val="62566BFE"/>
    <w:rsid w:val="62572DEF"/>
    <w:rsid w:val="62652A22"/>
    <w:rsid w:val="626B67DC"/>
    <w:rsid w:val="627C2DB2"/>
    <w:rsid w:val="6286046C"/>
    <w:rsid w:val="629C4819"/>
    <w:rsid w:val="62A0237D"/>
    <w:rsid w:val="62B20001"/>
    <w:rsid w:val="62B35552"/>
    <w:rsid w:val="62BD1FA2"/>
    <w:rsid w:val="62CC0F7F"/>
    <w:rsid w:val="62CC7963"/>
    <w:rsid w:val="62D3153D"/>
    <w:rsid w:val="62DA022D"/>
    <w:rsid w:val="62DD11C2"/>
    <w:rsid w:val="62DD5393"/>
    <w:rsid w:val="62E8378B"/>
    <w:rsid w:val="62F005AD"/>
    <w:rsid w:val="63027FBB"/>
    <w:rsid w:val="630861D9"/>
    <w:rsid w:val="631B659E"/>
    <w:rsid w:val="63263B05"/>
    <w:rsid w:val="633D528C"/>
    <w:rsid w:val="63520648"/>
    <w:rsid w:val="63580976"/>
    <w:rsid w:val="63691E92"/>
    <w:rsid w:val="637D1F49"/>
    <w:rsid w:val="638B7537"/>
    <w:rsid w:val="638F7E54"/>
    <w:rsid w:val="63A51362"/>
    <w:rsid w:val="63B142F5"/>
    <w:rsid w:val="63B41563"/>
    <w:rsid w:val="63B8752C"/>
    <w:rsid w:val="63BD5183"/>
    <w:rsid w:val="63C57DD1"/>
    <w:rsid w:val="63C96573"/>
    <w:rsid w:val="63CC2AEF"/>
    <w:rsid w:val="63E05E3E"/>
    <w:rsid w:val="63E10BC0"/>
    <w:rsid w:val="63EF5D46"/>
    <w:rsid w:val="63FC6EC4"/>
    <w:rsid w:val="640114BE"/>
    <w:rsid w:val="641B4CA6"/>
    <w:rsid w:val="642F2A4E"/>
    <w:rsid w:val="6435777D"/>
    <w:rsid w:val="64363C0F"/>
    <w:rsid w:val="64466BD2"/>
    <w:rsid w:val="64485E79"/>
    <w:rsid w:val="644F77F3"/>
    <w:rsid w:val="64594C25"/>
    <w:rsid w:val="64632A0D"/>
    <w:rsid w:val="647059C7"/>
    <w:rsid w:val="64756D64"/>
    <w:rsid w:val="64847E59"/>
    <w:rsid w:val="6488196A"/>
    <w:rsid w:val="648E6155"/>
    <w:rsid w:val="64954B74"/>
    <w:rsid w:val="64957587"/>
    <w:rsid w:val="64A46760"/>
    <w:rsid w:val="64AB03CD"/>
    <w:rsid w:val="64D11367"/>
    <w:rsid w:val="64D22C13"/>
    <w:rsid w:val="64E5785A"/>
    <w:rsid w:val="65066AA8"/>
    <w:rsid w:val="650C3523"/>
    <w:rsid w:val="6512347A"/>
    <w:rsid w:val="65175FB1"/>
    <w:rsid w:val="65233931"/>
    <w:rsid w:val="65306C5B"/>
    <w:rsid w:val="65327630"/>
    <w:rsid w:val="6534552C"/>
    <w:rsid w:val="653732CF"/>
    <w:rsid w:val="6539070E"/>
    <w:rsid w:val="654D6F02"/>
    <w:rsid w:val="65543612"/>
    <w:rsid w:val="65677703"/>
    <w:rsid w:val="657102A5"/>
    <w:rsid w:val="657B4828"/>
    <w:rsid w:val="657D2B8F"/>
    <w:rsid w:val="658F67E2"/>
    <w:rsid w:val="65BF17C4"/>
    <w:rsid w:val="65C61DCE"/>
    <w:rsid w:val="65CA0C07"/>
    <w:rsid w:val="65D37C5C"/>
    <w:rsid w:val="65E0698C"/>
    <w:rsid w:val="65E64F50"/>
    <w:rsid w:val="65E66FE9"/>
    <w:rsid w:val="65E72E07"/>
    <w:rsid w:val="65EC1134"/>
    <w:rsid w:val="65FA7416"/>
    <w:rsid w:val="6601306C"/>
    <w:rsid w:val="66082B65"/>
    <w:rsid w:val="66173180"/>
    <w:rsid w:val="661867A7"/>
    <w:rsid w:val="661C7F1D"/>
    <w:rsid w:val="661E38BD"/>
    <w:rsid w:val="662050AF"/>
    <w:rsid w:val="663A6F1D"/>
    <w:rsid w:val="663F780C"/>
    <w:rsid w:val="66445162"/>
    <w:rsid w:val="66584058"/>
    <w:rsid w:val="665E09E7"/>
    <w:rsid w:val="66664238"/>
    <w:rsid w:val="666740F7"/>
    <w:rsid w:val="666875D7"/>
    <w:rsid w:val="666D5A8D"/>
    <w:rsid w:val="666F3B91"/>
    <w:rsid w:val="667177F8"/>
    <w:rsid w:val="667A70E4"/>
    <w:rsid w:val="667E5A0C"/>
    <w:rsid w:val="667F127F"/>
    <w:rsid w:val="66802173"/>
    <w:rsid w:val="668822AD"/>
    <w:rsid w:val="66953314"/>
    <w:rsid w:val="66972333"/>
    <w:rsid w:val="66A97457"/>
    <w:rsid w:val="66AB6C17"/>
    <w:rsid w:val="66AD04A0"/>
    <w:rsid w:val="66BC6B11"/>
    <w:rsid w:val="66C06610"/>
    <w:rsid w:val="66D70249"/>
    <w:rsid w:val="66DF7759"/>
    <w:rsid w:val="66F16B57"/>
    <w:rsid w:val="66F20605"/>
    <w:rsid w:val="66F834D6"/>
    <w:rsid w:val="67050116"/>
    <w:rsid w:val="67050A8D"/>
    <w:rsid w:val="670B4D6A"/>
    <w:rsid w:val="67130BB1"/>
    <w:rsid w:val="671444F6"/>
    <w:rsid w:val="6725324D"/>
    <w:rsid w:val="672E7177"/>
    <w:rsid w:val="6735339C"/>
    <w:rsid w:val="67420DA3"/>
    <w:rsid w:val="67423AF9"/>
    <w:rsid w:val="674C1CD0"/>
    <w:rsid w:val="67A165E0"/>
    <w:rsid w:val="67BF666B"/>
    <w:rsid w:val="67CB009D"/>
    <w:rsid w:val="67D168D9"/>
    <w:rsid w:val="67D91C49"/>
    <w:rsid w:val="67E3697C"/>
    <w:rsid w:val="67E94CE2"/>
    <w:rsid w:val="67FD509C"/>
    <w:rsid w:val="68004038"/>
    <w:rsid w:val="68091D38"/>
    <w:rsid w:val="6809787C"/>
    <w:rsid w:val="68106B30"/>
    <w:rsid w:val="681B6784"/>
    <w:rsid w:val="682243CF"/>
    <w:rsid w:val="682661DC"/>
    <w:rsid w:val="68302A30"/>
    <w:rsid w:val="68355CE5"/>
    <w:rsid w:val="68360F03"/>
    <w:rsid w:val="6837696C"/>
    <w:rsid w:val="683941EF"/>
    <w:rsid w:val="683B20F8"/>
    <w:rsid w:val="68404D5D"/>
    <w:rsid w:val="684A0BEB"/>
    <w:rsid w:val="6862698F"/>
    <w:rsid w:val="686D514A"/>
    <w:rsid w:val="6870351A"/>
    <w:rsid w:val="687706CB"/>
    <w:rsid w:val="68896BC6"/>
    <w:rsid w:val="688E6CFF"/>
    <w:rsid w:val="689A026E"/>
    <w:rsid w:val="689A1AEE"/>
    <w:rsid w:val="68A316AB"/>
    <w:rsid w:val="68A70810"/>
    <w:rsid w:val="68AC567D"/>
    <w:rsid w:val="68B135B4"/>
    <w:rsid w:val="68B40C7F"/>
    <w:rsid w:val="68B83118"/>
    <w:rsid w:val="68C02E26"/>
    <w:rsid w:val="68CE1ED7"/>
    <w:rsid w:val="68DB195A"/>
    <w:rsid w:val="68E3132F"/>
    <w:rsid w:val="68E40483"/>
    <w:rsid w:val="68E745C1"/>
    <w:rsid w:val="68F658A1"/>
    <w:rsid w:val="68FA394E"/>
    <w:rsid w:val="68FA481C"/>
    <w:rsid w:val="69000A2F"/>
    <w:rsid w:val="690840BC"/>
    <w:rsid w:val="690D4FB8"/>
    <w:rsid w:val="691B3204"/>
    <w:rsid w:val="69284EB3"/>
    <w:rsid w:val="692867B8"/>
    <w:rsid w:val="694B3AF3"/>
    <w:rsid w:val="694E2729"/>
    <w:rsid w:val="695F49A2"/>
    <w:rsid w:val="69674033"/>
    <w:rsid w:val="69687A60"/>
    <w:rsid w:val="697D3D5F"/>
    <w:rsid w:val="6982364F"/>
    <w:rsid w:val="69851ABA"/>
    <w:rsid w:val="69894691"/>
    <w:rsid w:val="698C6300"/>
    <w:rsid w:val="698F1173"/>
    <w:rsid w:val="69956BC8"/>
    <w:rsid w:val="69B1528D"/>
    <w:rsid w:val="69B22C41"/>
    <w:rsid w:val="69B56193"/>
    <w:rsid w:val="69C011F1"/>
    <w:rsid w:val="69C93747"/>
    <w:rsid w:val="69CB41F7"/>
    <w:rsid w:val="69D15FD5"/>
    <w:rsid w:val="69D31C79"/>
    <w:rsid w:val="69D418AA"/>
    <w:rsid w:val="69D95BAA"/>
    <w:rsid w:val="69DC4AB1"/>
    <w:rsid w:val="69E100AB"/>
    <w:rsid w:val="69EE2969"/>
    <w:rsid w:val="69FD5739"/>
    <w:rsid w:val="6A076A19"/>
    <w:rsid w:val="6A094DCB"/>
    <w:rsid w:val="6A0B5C2C"/>
    <w:rsid w:val="6A0C31CB"/>
    <w:rsid w:val="6A135C62"/>
    <w:rsid w:val="6A157C4B"/>
    <w:rsid w:val="6A1A45DE"/>
    <w:rsid w:val="6A2716B3"/>
    <w:rsid w:val="6A3A09B5"/>
    <w:rsid w:val="6A3A79DB"/>
    <w:rsid w:val="6A3D4173"/>
    <w:rsid w:val="6A427C88"/>
    <w:rsid w:val="6A4C1061"/>
    <w:rsid w:val="6A512834"/>
    <w:rsid w:val="6A6E0827"/>
    <w:rsid w:val="6A7A21DD"/>
    <w:rsid w:val="6A934CC6"/>
    <w:rsid w:val="6AA5392A"/>
    <w:rsid w:val="6AAA3F57"/>
    <w:rsid w:val="6AB516C4"/>
    <w:rsid w:val="6ABA43AA"/>
    <w:rsid w:val="6AC34ECE"/>
    <w:rsid w:val="6AC70272"/>
    <w:rsid w:val="6ADA6545"/>
    <w:rsid w:val="6AE346D1"/>
    <w:rsid w:val="6AEA34E6"/>
    <w:rsid w:val="6AF32273"/>
    <w:rsid w:val="6AFD45A6"/>
    <w:rsid w:val="6B080608"/>
    <w:rsid w:val="6B11358A"/>
    <w:rsid w:val="6B172EE2"/>
    <w:rsid w:val="6B1D005F"/>
    <w:rsid w:val="6B1F2095"/>
    <w:rsid w:val="6B2A2150"/>
    <w:rsid w:val="6B2D363D"/>
    <w:rsid w:val="6B2E27EB"/>
    <w:rsid w:val="6B2F65E9"/>
    <w:rsid w:val="6B4C30D9"/>
    <w:rsid w:val="6B735ED1"/>
    <w:rsid w:val="6B7B0512"/>
    <w:rsid w:val="6B7E2AD6"/>
    <w:rsid w:val="6BA8118D"/>
    <w:rsid w:val="6BB1162C"/>
    <w:rsid w:val="6BCB5F92"/>
    <w:rsid w:val="6BDD2EB4"/>
    <w:rsid w:val="6BDD3703"/>
    <w:rsid w:val="6BDE3618"/>
    <w:rsid w:val="6BF03434"/>
    <w:rsid w:val="6C03541A"/>
    <w:rsid w:val="6C0D57F8"/>
    <w:rsid w:val="6C1716DC"/>
    <w:rsid w:val="6C183232"/>
    <w:rsid w:val="6C1D5F81"/>
    <w:rsid w:val="6C406706"/>
    <w:rsid w:val="6C445541"/>
    <w:rsid w:val="6C4A5706"/>
    <w:rsid w:val="6C4F2EFD"/>
    <w:rsid w:val="6C5B77C3"/>
    <w:rsid w:val="6C69320B"/>
    <w:rsid w:val="6C6C7424"/>
    <w:rsid w:val="6C7511BD"/>
    <w:rsid w:val="6C810DC2"/>
    <w:rsid w:val="6C8C30BF"/>
    <w:rsid w:val="6C972056"/>
    <w:rsid w:val="6C99725C"/>
    <w:rsid w:val="6CA24738"/>
    <w:rsid w:val="6CA420BB"/>
    <w:rsid w:val="6CB451E2"/>
    <w:rsid w:val="6CC16C42"/>
    <w:rsid w:val="6CC85E0B"/>
    <w:rsid w:val="6CED3D69"/>
    <w:rsid w:val="6CF0753E"/>
    <w:rsid w:val="6CF870CD"/>
    <w:rsid w:val="6CF9547F"/>
    <w:rsid w:val="6CFC026C"/>
    <w:rsid w:val="6D05572A"/>
    <w:rsid w:val="6D201A28"/>
    <w:rsid w:val="6D296B73"/>
    <w:rsid w:val="6D3C1512"/>
    <w:rsid w:val="6D424941"/>
    <w:rsid w:val="6D483DE8"/>
    <w:rsid w:val="6D4955EE"/>
    <w:rsid w:val="6D584B65"/>
    <w:rsid w:val="6D5D4AFB"/>
    <w:rsid w:val="6D701686"/>
    <w:rsid w:val="6D801BF4"/>
    <w:rsid w:val="6D8E4050"/>
    <w:rsid w:val="6DAA6C69"/>
    <w:rsid w:val="6DAC381B"/>
    <w:rsid w:val="6DB4139E"/>
    <w:rsid w:val="6DB66497"/>
    <w:rsid w:val="6DB86145"/>
    <w:rsid w:val="6DBB568C"/>
    <w:rsid w:val="6DBC1547"/>
    <w:rsid w:val="6DBD60C3"/>
    <w:rsid w:val="6DBF6BE0"/>
    <w:rsid w:val="6DC03BC7"/>
    <w:rsid w:val="6DC123A8"/>
    <w:rsid w:val="6DD3743B"/>
    <w:rsid w:val="6DD4401D"/>
    <w:rsid w:val="6DD924C5"/>
    <w:rsid w:val="6DE771BF"/>
    <w:rsid w:val="6DEF273F"/>
    <w:rsid w:val="6E075445"/>
    <w:rsid w:val="6E106315"/>
    <w:rsid w:val="6E18525F"/>
    <w:rsid w:val="6E1C2B82"/>
    <w:rsid w:val="6E253A38"/>
    <w:rsid w:val="6E2E694C"/>
    <w:rsid w:val="6E366515"/>
    <w:rsid w:val="6E3C787A"/>
    <w:rsid w:val="6E4968A1"/>
    <w:rsid w:val="6E5422D3"/>
    <w:rsid w:val="6E594DAD"/>
    <w:rsid w:val="6E617BEF"/>
    <w:rsid w:val="6E825116"/>
    <w:rsid w:val="6E831D29"/>
    <w:rsid w:val="6EA40951"/>
    <w:rsid w:val="6EB63DAF"/>
    <w:rsid w:val="6EBD494E"/>
    <w:rsid w:val="6EE401A4"/>
    <w:rsid w:val="6EF111DD"/>
    <w:rsid w:val="6EF60A72"/>
    <w:rsid w:val="6EFA668A"/>
    <w:rsid w:val="6F204E3D"/>
    <w:rsid w:val="6F2370BE"/>
    <w:rsid w:val="6F286ACE"/>
    <w:rsid w:val="6F5678E5"/>
    <w:rsid w:val="6F5A445B"/>
    <w:rsid w:val="6F653186"/>
    <w:rsid w:val="6F6A589C"/>
    <w:rsid w:val="6F720484"/>
    <w:rsid w:val="6F727037"/>
    <w:rsid w:val="6F792328"/>
    <w:rsid w:val="6F7B6EFF"/>
    <w:rsid w:val="6F860B55"/>
    <w:rsid w:val="6F8A0060"/>
    <w:rsid w:val="6F8B5C82"/>
    <w:rsid w:val="6F9649B9"/>
    <w:rsid w:val="6FA50C48"/>
    <w:rsid w:val="6FA62E69"/>
    <w:rsid w:val="6FAD4FE8"/>
    <w:rsid w:val="6FB8421B"/>
    <w:rsid w:val="6FC97296"/>
    <w:rsid w:val="6FCA7FE8"/>
    <w:rsid w:val="6FCE5F6B"/>
    <w:rsid w:val="6FD10030"/>
    <w:rsid w:val="6FD20CED"/>
    <w:rsid w:val="6FD4631A"/>
    <w:rsid w:val="6FDD1A55"/>
    <w:rsid w:val="6FDE0CA6"/>
    <w:rsid w:val="6FDF1E4C"/>
    <w:rsid w:val="6FE427E4"/>
    <w:rsid w:val="6FE4360D"/>
    <w:rsid w:val="6FEF62F4"/>
    <w:rsid w:val="6FF30EED"/>
    <w:rsid w:val="6FFC4A4E"/>
    <w:rsid w:val="7017383B"/>
    <w:rsid w:val="70187AD2"/>
    <w:rsid w:val="70275DD1"/>
    <w:rsid w:val="703254E7"/>
    <w:rsid w:val="7038137E"/>
    <w:rsid w:val="70426982"/>
    <w:rsid w:val="70555C88"/>
    <w:rsid w:val="70562441"/>
    <w:rsid w:val="705A49B5"/>
    <w:rsid w:val="70640C11"/>
    <w:rsid w:val="70744DA7"/>
    <w:rsid w:val="70873165"/>
    <w:rsid w:val="70947319"/>
    <w:rsid w:val="70A92E7A"/>
    <w:rsid w:val="70AD779B"/>
    <w:rsid w:val="70B35E4F"/>
    <w:rsid w:val="70B50F51"/>
    <w:rsid w:val="70B7360D"/>
    <w:rsid w:val="70C20D61"/>
    <w:rsid w:val="70CA28EF"/>
    <w:rsid w:val="70CD23F2"/>
    <w:rsid w:val="70D33CDF"/>
    <w:rsid w:val="70D43755"/>
    <w:rsid w:val="70F67D10"/>
    <w:rsid w:val="70F754F8"/>
    <w:rsid w:val="710260B4"/>
    <w:rsid w:val="710822E5"/>
    <w:rsid w:val="710C3C17"/>
    <w:rsid w:val="711816A0"/>
    <w:rsid w:val="71193F79"/>
    <w:rsid w:val="71281828"/>
    <w:rsid w:val="712A4CC2"/>
    <w:rsid w:val="712B759E"/>
    <w:rsid w:val="712D116E"/>
    <w:rsid w:val="71306483"/>
    <w:rsid w:val="71441A1D"/>
    <w:rsid w:val="714B412A"/>
    <w:rsid w:val="715C1E16"/>
    <w:rsid w:val="715C434D"/>
    <w:rsid w:val="718159DA"/>
    <w:rsid w:val="71A8161B"/>
    <w:rsid w:val="71A9159F"/>
    <w:rsid w:val="71AD0C33"/>
    <w:rsid w:val="71B66575"/>
    <w:rsid w:val="71BC30B1"/>
    <w:rsid w:val="71BF733E"/>
    <w:rsid w:val="71C032CD"/>
    <w:rsid w:val="71C646C9"/>
    <w:rsid w:val="71C75AC7"/>
    <w:rsid w:val="71E806F6"/>
    <w:rsid w:val="71EA7C24"/>
    <w:rsid w:val="71ED4697"/>
    <w:rsid w:val="71F7772E"/>
    <w:rsid w:val="720964DC"/>
    <w:rsid w:val="720B39A7"/>
    <w:rsid w:val="721648B3"/>
    <w:rsid w:val="72213028"/>
    <w:rsid w:val="72213DD0"/>
    <w:rsid w:val="72221BBF"/>
    <w:rsid w:val="72283623"/>
    <w:rsid w:val="72385737"/>
    <w:rsid w:val="724D760A"/>
    <w:rsid w:val="724F20B5"/>
    <w:rsid w:val="726604A0"/>
    <w:rsid w:val="72787DFC"/>
    <w:rsid w:val="727F10A7"/>
    <w:rsid w:val="72865156"/>
    <w:rsid w:val="728D1614"/>
    <w:rsid w:val="72915E58"/>
    <w:rsid w:val="72962D25"/>
    <w:rsid w:val="7297591A"/>
    <w:rsid w:val="72993A48"/>
    <w:rsid w:val="72997517"/>
    <w:rsid w:val="72A0234F"/>
    <w:rsid w:val="72AA1BDA"/>
    <w:rsid w:val="72AA5565"/>
    <w:rsid w:val="72AC36A9"/>
    <w:rsid w:val="72B1616A"/>
    <w:rsid w:val="72B65F01"/>
    <w:rsid w:val="72BF3324"/>
    <w:rsid w:val="72D52433"/>
    <w:rsid w:val="72D60071"/>
    <w:rsid w:val="72D606EC"/>
    <w:rsid w:val="72D93F6D"/>
    <w:rsid w:val="72DF56FC"/>
    <w:rsid w:val="72E35E82"/>
    <w:rsid w:val="72E521F8"/>
    <w:rsid w:val="72EE0B7A"/>
    <w:rsid w:val="72F2505E"/>
    <w:rsid w:val="73074853"/>
    <w:rsid w:val="730B05CB"/>
    <w:rsid w:val="731C38D8"/>
    <w:rsid w:val="73224568"/>
    <w:rsid w:val="73326462"/>
    <w:rsid w:val="733267BA"/>
    <w:rsid w:val="7334162F"/>
    <w:rsid w:val="73354D79"/>
    <w:rsid w:val="733C69A4"/>
    <w:rsid w:val="733D5927"/>
    <w:rsid w:val="733D6904"/>
    <w:rsid w:val="73425863"/>
    <w:rsid w:val="73441BBC"/>
    <w:rsid w:val="73450B10"/>
    <w:rsid w:val="735A288E"/>
    <w:rsid w:val="735C1BAC"/>
    <w:rsid w:val="73634A7D"/>
    <w:rsid w:val="73644352"/>
    <w:rsid w:val="73644F40"/>
    <w:rsid w:val="7386036B"/>
    <w:rsid w:val="739165AD"/>
    <w:rsid w:val="739D4F03"/>
    <w:rsid w:val="73A11FC5"/>
    <w:rsid w:val="73A86DE6"/>
    <w:rsid w:val="73C011E9"/>
    <w:rsid w:val="73DA07EE"/>
    <w:rsid w:val="73DA0AC7"/>
    <w:rsid w:val="73DF274A"/>
    <w:rsid w:val="73E33B8D"/>
    <w:rsid w:val="73E5703B"/>
    <w:rsid w:val="73EA49AE"/>
    <w:rsid w:val="73F41A18"/>
    <w:rsid w:val="740408B6"/>
    <w:rsid w:val="74073B8A"/>
    <w:rsid w:val="740C58E7"/>
    <w:rsid w:val="741355E4"/>
    <w:rsid w:val="74160689"/>
    <w:rsid w:val="74181D3E"/>
    <w:rsid w:val="74216EAA"/>
    <w:rsid w:val="74292D7F"/>
    <w:rsid w:val="74300F7C"/>
    <w:rsid w:val="743129E9"/>
    <w:rsid w:val="74375E6A"/>
    <w:rsid w:val="74475E64"/>
    <w:rsid w:val="74591C95"/>
    <w:rsid w:val="74603C23"/>
    <w:rsid w:val="747331C6"/>
    <w:rsid w:val="747552F5"/>
    <w:rsid w:val="748D2AE1"/>
    <w:rsid w:val="74AC1B70"/>
    <w:rsid w:val="74AE5B41"/>
    <w:rsid w:val="74BB0D33"/>
    <w:rsid w:val="74CC0189"/>
    <w:rsid w:val="74CE16AB"/>
    <w:rsid w:val="74FF4146"/>
    <w:rsid w:val="750B55E7"/>
    <w:rsid w:val="7517290E"/>
    <w:rsid w:val="7524011E"/>
    <w:rsid w:val="75264237"/>
    <w:rsid w:val="752F3C63"/>
    <w:rsid w:val="753477BE"/>
    <w:rsid w:val="75353D49"/>
    <w:rsid w:val="753A2A4C"/>
    <w:rsid w:val="75425ABA"/>
    <w:rsid w:val="754654B5"/>
    <w:rsid w:val="75504535"/>
    <w:rsid w:val="755847D9"/>
    <w:rsid w:val="75664DA5"/>
    <w:rsid w:val="756B3E16"/>
    <w:rsid w:val="756C14EA"/>
    <w:rsid w:val="756F32C2"/>
    <w:rsid w:val="75742569"/>
    <w:rsid w:val="75810963"/>
    <w:rsid w:val="758940BE"/>
    <w:rsid w:val="75A0372E"/>
    <w:rsid w:val="75A2033E"/>
    <w:rsid w:val="75C63A72"/>
    <w:rsid w:val="75D647AE"/>
    <w:rsid w:val="75ED7CA1"/>
    <w:rsid w:val="76030DD2"/>
    <w:rsid w:val="760C49FD"/>
    <w:rsid w:val="76263BFF"/>
    <w:rsid w:val="76280562"/>
    <w:rsid w:val="762F148C"/>
    <w:rsid w:val="763A467A"/>
    <w:rsid w:val="764C4C9B"/>
    <w:rsid w:val="765624A9"/>
    <w:rsid w:val="766A6296"/>
    <w:rsid w:val="76744AB4"/>
    <w:rsid w:val="76753910"/>
    <w:rsid w:val="76767CE6"/>
    <w:rsid w:val="768338E5"/>
    <w:rsid w:val="76834981"/>
    <w:rsid w:val="768649A5"/>
    <w:rsid w:val="768A40CF"/>
    <w:rsid w:val="769E1BD3"/>
    <w:rsid w:val="76B37DB7"/>
    <w:rsid w:val="76B530AC"/>
    <w:rsid w:val="76BE6AB3"/>
    <w:rsid w:val="76D6539D"/>
    <w:rsid w:val="76E660A6"/>
    <w:rsid w:val="76ED779B"/>
    <w:rsid w:val="76F546F3"/>
    <w:rsid w:val="76FA4592"/>
    <w:rsid w:val="76FA7973"/>
    <w:rsid w:val="7701442E"/>
    <w:rsid w:val="77165C65"/>
    <w:rsid w:val="771D555B"/>
    <w:rsid w:val="772F52F6"/>
    <w:rsid w:val="7733748B"/>
    <w:rsid w:val="77362865"/>
    <w:rsid w:val="77394496"/>
    <w:rsid w:val="773B67B5"/>
    <w:rsid w:val="773C5218"/>
    <w:rsid w:val="774B0D9C"/>
    <w:rsid w:val="775061A4"/>
    <w:rsid w:val="7753442F"/>
    <w:rsid w:val="77552456"/>
    <w:rsid w:val="775A2A81"/>
    <w:rsid w:val="775D2636"/>
    <w:rsid w:val="7767577C"/>
    <w:rsid w:val="777443D4"/>
    <w:rsid w:val="77760A3E"/>
    <w:rsid w:val="778651AB"/>
    <w:rsid w:val="77867277"/>
    <w:rsid w:val="778A2DED"/>
    <w:rsid w:val="778B1301"/>
    <w:rsid w:val="779104F2"/>
    <w:rsid w:val="77965354"/>
    <w:rsid w:val="77AD3F77"/>
    <w:rsid w:val="77D54484"/>
    <w:rsid w:val="77DD37B8"/>
    <w:rsid w:val="77E41FD1"/>
    <w:rsid w:val="77EF7DAA"/>
    <w:rsid w:val="780A4D86"/>
    <w:rsid w:val="780D18C6"/>
    <w:rsid w:val="780E424E"/>
    <w:rsid w:val="781037C6"/>
    <w:rsid w:val="78192277"/>
    <w:rsid w:val="781B4D4B"/>
    <w:rsid w:val="781F7A30"/>
    <w:rsid w:val="782E7686"/>
    <w:rsid w:val="78335B0D"/>
    <w:rsid w:val="783D7D1D"/>
    <w:rsid w:val="784A0AF8"/>
    <w:rsid w:val="78562C89"/>
    <w:rsid w:val="785D1826"/>
    <w:rsid w:val="786A3358"/>
    <w:rsid w:val="786B1232"/>
    <w:rsid w:val="787E4ECA"/>
    <w:rsid w:val="78921C30"/>
    <w:rsid w:val="789643FF"/>
    <w:rsid w:val="78A25470"/>
    <w:rsid w:val="78B21099"/>
    <w:rsid w:val="78CB54A5"/>
    <w:rsid w:val="78D02EEC"/>
    <w:rsid w:val="78D3436F"/>
    <w:rsid w:val="78D721AA"/>
    <w:rsid w:val="78DD745E"/>
    <w:rsid w:val="78EF35AE"/>
    <w:rsid w:val="78F10D8C"/>
    <w:rsid w:val="78F45B04"/>
    <w:rsid w:val="78F767D1"/>
    <w:rsid w:val="78F77035"/>
    <w:rsid w:val="78F83453"/>
    <w:rsid w:val="78FC7383"/>
    <w:rsid w:val="78FE3E71"/>
    <w:rsid w:val="78FF036B"/>
    <w:rsid w:val="79045E46"/>
    <w:rsid w:val="790814EE"/>
    <w:rsid w:val="79110738"/>
    <w:rsid w:val="791159DD"/>
    <w:rsid w:val="79246007"/>
    <w:rsid w:val="79322A96"/>
    <w:rsid w:val="793B1C4A"/>
    <w:rsid w:val="79401947"/>
    <w:rsid w:val="794A3AF6"/>
    <w:rsid w:val="79685D8C"/>
    <w:rsid w:val="796B0F44"/>
    <w:rsid w:val="79761910"/>
    <w:rsid w:val="79762C1B"/>
    <w:rsid w:val="797A1B16"/>
    <w:rsid w:val="797B3B3F"/>
    <w:rsid w:val="797E2A3A"/>
    <w:rsid w:val="79911690"/>
    <w:rsid w:val="799C7689"/>
    <w:rsid w:val="799F64B3"/>
    <w:rsid w:val="79A16335"/>
    <w:rsid w:val="79B470BE"/>
    <w:rsid w:val="79B956EC"/>
    <w:rsid w:val="79C83972"/>
    <w:rsid w:val="79D12BE2"/>
    <w:rsid w:val="79D3496F"/>
    <w:rsid w:val="79E25DEA"/>
    <w:rsid w:val="79EE4391"/>
    <w:rsid w:val="79F01C9B"/>
    <w:rsid w:val="79FE4F38"/>
    <w:rsid w:val="7A2C2BF1"/>
    <w:rsid w:val="7A2F4FEC"/>
    <w:rsid w:val="7A4C12A2"/>
    <w:rsid w:val="7A510A04"/>
    <w:rsid w:val="7A52187C"/>
    <w:rsid w:val="7A695F0D"/>
    <w:rsid w:val="7A6D094E"/>
    <w:rsid w:val="7A7311CA"/>
    <w:rsid w:val="7A827394"/>
    <w:rsid w:val="7A846874"/>
    <w:rsid w:val="7A8F248C"/>
    <w:rsid w:val="7A9B51DA"/>
    <w:rsid w:val="7A9E270A"/>
    <w:rsid w:val="7AA36F2F"/>
    <w:rsid w:val="7AB75D70"/>
    <w:rsid w:val="7AB823F8"/>
    <w:rsid w:val="7AC24FB3"/>
    <w:rsid w:val="7ACF0489"/>
    <w:rsid w:val="7AD57F55"/>
    <w:rsid w:val="7AE25B57"/>
    <w:rsid w:val="7AF279BD"/>
    <w:rsid w:val="7AF446D2"/>
    <w:rsid w:val="7AFA34B4"/>
    <w:rsid w:val="7B077E39"/>
    <w:rsid w:val="7B184EDD"/>
    <w:rsid w:val="7B19078B"/>
    <w:rsid w:val="7B1C4A41"/>
    <w:rsid w:val="7B236DA0"/>
    <w:rsid w:val="7B2E3F4A"/>
    <w:rsid w:val="7B34721F"/>
    <w:rsid w:val="7B362B48"/>
    <w:rsid w:val="7B3B33D4"/>
    <w:rsid w:val="7B445501"/>
    <w:rsid w:val="7B445554"/>
    <w:rsid w:val="7B483FA9"/>
    <w:rsid w:val="7B527922"/>
    <w:rsid w:val="7B6410DB"/>
    <w:rsid w:val="7B687F75"/>
    <w:rsid w:val="7B6903FC"/>
    <w:rsid w:val="7B6B647C"/>
    <w:rsid w:val="7B7D05B6"/>
    <w:rsid w:val="7B9259DF"/>
    <w:rsid w:val="7B984B5F"/>
    <w:rsid w:val="7B9E7178"/>
    <w:rsid w:val="7BAA5F8A"/>
    <w:rsid w:val="7BAB438E"/>
    <w:rsid w:val="7BB25779"/>
    <w:rsid w:val="7BBE3B76"/>
    <w:rsid w:val="7BCB0170"/>
    <w:rsid w:val="7BDE4E46"/>
    <w:rsid w:val="7BEE0F39"/>
    <w:rsid w:val="7BF273F5"/>
    <w:rsid w:val="7BFF7239"/>
    <w:rsid w:val="7C0D576B"/>
    <w:rsid w:val="7C125E3E"/>
    <w:rsid w:val="7C15680F"/>
    <w:rsid w:val="7C207FB2"/>
    <w:rsid w:val="7C224BF6"/>
    <w:rsid w:val="7C247B42"/>
    <w:rsid w:val="7C2E3EF5"/>
    <w:rsid w:val="7C3C6D9C"/>
    <w:rsid w:val="7C506FA2"/>
    <w:rsid w:val="7C510AEB"/>
    <w:rsid w:val="7C5923E3"/>
    <w:rsid w:val="7C776794"/>
    <w:rsid w:val="7C792C1C"/>
    <w:rsid w:val="7C8B288E"/>
    <w:rsid w:val="7C8F106D"/>
    <w:rsid w:val="7CA151DF"/>
    <w:rsid w:val="7CA233E6"/>
    <w:rsid w:val="7CAB1216"/>
    <w:rsid w:val="7CAB5C01"/>
    <w:rsid w:val="7CDE419F"/>
    <w:rsid w:val="7CDF0AC4"/>
    <w:rsid w:val="7CE31398"/>
    <w:rsid w:val="7CE71661"/>
    <w:rsid w:val="7CED4F27"/>
    <w:rsid w:val="7CFF2009"/>
    <w:rsid w:val="7D12515B"/>
    <w:rsid w:val="7D1B2636"/>
    <w:rsid w:val="7D1E003C"/>
    <w:rsid w:val="7D2D65C3"/>
    <w:rsid w:val="7D372A2D"/>
    <w:rsid w:val="7D391B86"/>
    <w:rsid w:val="7D3C498E"/>
    <w:rsid w:val="7D430D35"/>
    <w:rsid w:val="7D4340BA"/>
    <w:rsid w:val="7D477F58"/>
    <w:rsid w:val="7D4B5F3B"/>
    <w:rsid w:val="7D4F3403"/>
    <w:rsid w:val="7D5A1CEB"/>
    <w:rsid w:val="7D5C1BD0"/>
    <w:rsid w:val="7D60309E"/>
    <w:rsid w:val="7D63574E"/>
    <w:rsid w:val="7D647AD2"/>
    <w:rsid w:val="7D8656A8"/>
    <w:rsid w:val="7D8753E3"/>
    <w:rsid w:val="7D88254B"/>
    <w:rsid w:val="7D89764E"/>
    <w:rsid w:val="7DBF6C29"/>
    <w:rsid w:val="7DC65305"/>
    <w:rsid w:val="7DCA423D"/>
    <w:rsid w:val="7DCF045C"/>
    <w:rsid w:val="7DD152BA"/>
    <w:rsid w:val="7DDF2436"/>
    <w:rsid w:val="7DE51E8C"/>
    <w:rsid w:val="7DEE2436"/>
    <w:rsid w:val="7DEE37D3"/>
    <w:rsid w:val="7DF21566"/>
    <w:rsid w:val="7E03716E"/>
    <w:rsid w:val="7E037310"/>
    <w:rsid w:val="7E0C40CF"/>
    <w:rsid w:val="7E0F63BB"/>
    <w:rsid w:val="7E122AEF"/>
    <w:rsid w:val="7E21298D"/>
    <w:rsid w:val="7E3152CD"/>
    <w:rsid w:val="7E426198"/>
    <w:rsid w:val="7E7B432A"/>
    <w:rsid w:val="7E837AA0"/>
    <w:rsid w:val="7E8835EA"/>
    <w:rsid w:val="7E896248"/>
    <w:rsid w:val="7E995174"/>
    <w:rsid w:val="7E9E2F9A"/>
    <w:rsid w:val="7EA57197"/>
    <w:rsid w:val="7EB675FD"/>
    <w:rsid w:val="7EBB27C0"/>
    <w:rsid w:val="7EC4451B"/>
    <w:rsid w:val="7EC730FC"/>
    <w:rsid w:val="7EC96D7E"/>
    <w:rsid w:val="7ED028BA"/>
    <w:rsid w:val="7EDD70CE"/>
    <w:rsid w:val="7EE5563F"/>
    <w:rsid w:val="7EE820BC"/>
    <w:rsid w:val="7EE8597E"/>
    <w:rsid w:val="7EEC4CF1"/>
    <w:rsid w:val="7EF14966"/>
    <w:rsid w:val="7EF770AB"/>
    <w:rsid w:val="7EF96C80"/>
    <w:rsid w:val="7F055D48"/>
    <w:rsid w:val="7F227C12"/>
    <w:rsid w:val="7F2C1404"/>
    <w:rsid w:val="7F343E6A"/>
    <w:rsid w:val="7F3A64E0"/>
    <w:rsid w:val="7F3F05B0"/>
    <w:rsid w:val="7F4230BE"/>
    <w:rsid w:val="7F486FC0"/>
    <w:rsid w:val="7F6A45FC"/>
    <w:rsid w:val="7F6B5FB7"/>
    <w:rsid w:val="7F6C5C78"/>
    <w:rsid w:val="7F762625"/>
    <w:rsid w:val="7F810930"/>
    <w:rsid w:val="7F831372"/>
    <w:rsid w:val="7F8839F0"/>
    <w:rsid w:val="7F893962"/>
    <w:rsid w:val="7F8C2C84"/>
    <w:rsid w:val="7FA34542"/>
    <w:rsid w:val="7FAE0B7A"/>
    <w:rsid w:val="7FAE2D33"/>
    <w:rsid w:val="7FB82410"/>
    <w:rsid w:val="7FBE67B2"/>
    <w:rsid w:val="7FCC3306"/>
    <w:rsid w:val="7FE3393C"/>
    <w:rsid w:val="7FE712EC"/>
    <w:rsid w:val="7FE91D19"/>
    <w:rsid w:val="7FFE679B"/>
    <w:rsid w:val="7FFF455E"/>
    <w:rsid w:val="F39FD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03" w:firstLineChars="200"/>
      <w:jc w:val="both"/>
    </w:pPr>
    <w:rPr>
      <w:rFonts w:ascii="Calibri" w:hAnsi="Calibri" w:eastAsia="华文仿宋" w:cs="Times New Roman"/>
      <w:kern w:val="2"/>
      <w:sz w:val="28"/>
      <w:szCs w:val="28"/>
      <w:lang w:val="en-US" w:eastAsia="zh-CN" w:bidi="ar-SA"/>
    </w:rPr>
  </w:style>
  <w:style w:type="paragraph" w:styleId="5">
    <w:name w:val="heading 1"/>
    <w:basedOn w:val="1"/>
    <w:next w:val="1"/>
    <w:link w:val="37"/>
    <w:qFormat/>
    <w:uiPriority w:val="9"/>
    <w:pPr>
      <w:keepNext/>
      <w:keepLines/>
      <w:spacing w:before="100" w:beforeLines="100" w:after="100" w:afterLines="100"/>
      <w:ind w:firstLine="0" w:firstLineChars="0"/>
      <w:outlineLvl w:val="0"/>
    </w:pPr>
    <w:rPr>
      <w:rFonts w:eastAsia="宋体"/>
      <w:b/>
      <w:bCs/>
      <w:kern w:val="44"/>
      <w:sz w:val="40"/>
      <w:szCs w:val="44"/>
    </w:rPr>
  </w:style>
  <w:style w:type="paragraph" w:styleId="6">
    <w:name w:val="heading 2"/>
    <w:basedOn w:val="1"/>
    <w:next w:val="1"/>
    <w:link w:val="30"/>
    <w:unhideWhenUsed/>
    <w:qFormat/>
    <w:uiPriority w:val="9"/>
    <w:pPr>
      <w:keepNext/>
      <w:keepLines/>
      <w:spacing w:before="50" w:beforeLines="50" w:after="50" w:afterLines="50"/>
      <w:ind w:firstLine="0" w:firstLineChars="0"/>
      <w:jc w:val="center"/>
      <w:outlineLvl w:val="1"/>
    </w:pPr>
    <w:rPr>
      <w:rFonts w:eastAsia="宋体" w:asciiTheme="majorHAnsi" w:hAnsiTheme="majorHAnsi" w:cstheme="majorBidi"/>
      <w:b/>
      <w:bCs/>
      <w:sz w:val="32"/>
      <w:szCs w:val="32"/>
    </w:rPr>
  </w:style>
  <w:style w:type="paragraph" w:styleId="7">
    <w:name w:val="heading 3"/>
    <w:basedOn w:val="1"/>
    <w:next w:val="1"/>
    <w:link w:val="31"/>
    <w:unhideWhenUsed/>
    <w:qFormat/>
    <w:uiPriority w:val="0"/>
    <w:pPr>
      <w:keepNext/>
      <w:keepLines/>
      <w:spacing w:before="50" w:beforeLines="50" w:after="10"/>
      <w:ind w:firstLine="0" w:firstLineChars="0"/>
      <w:outlineLvl w:val="2"/>
    </w:pPr>
    <w:rPr>
      <w:b/>
    </w:rPr>
  </w:style>
  <w:style w:type="paragraph" w:styleId="8">
    <w:name w:val="heading 9"/>
    <w:basedOn w:val="1"/>
    <w:next w:val="1"/>
    <w:semiHidden/>
    <w:unhideWhenUsed/>
    <w:qFormat/>
    <w:uiPriority w:val="0"/>
    <w:pPr>
      <w:keepNext/>
      <w:keepLines/>
      <w:spacing w:before="240" w:after="64" w:line="317" w:lineRule="auto"/>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autoRedefine/>
    <w:qFormat/>
    <w:uiPriority w:val="0"/>
    <w:pPr>
      <w:spacing w:after="120"/>
      <w:ind w:left="420" w:leftChars="200"/>
    </w:p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9">
    <w:name w:val="annotation text"/>
    <w:basedOn w:val="1"/>
    <w:autoRedefine/>
    <w:qFormat/>
    <w:uiPriority w:val="0"/>
    <w:pPr>
      <w:jc w:val="left"/>
    </w:pPr>
  </w:style>
  <w:style w:type="paragraph" w:styleId="10">
    <w:name w:val="Body Text"/>
    <w:basedOn w:val="1"/>
    <w:autoRedefine/>
    <w:qFormat/>
    <w:uiPriority w:val="0"/>
    <w:pPr>
      <w:ind w:firstLine="640"/>
    </w:pPr>
  </w:style>
  <w:style w:type="paragraph" w:styleId="11">
    <w:name w:val="toc 3"/>
    <w:basedOn w:val="1"/>
    <w:next w:val="1"/>
    <w:qFormat/>
    <w:uiPriority w:val="0"/>
    <w:pPr>
      <w:ind w:left="840" w:leftChars="400"/>
    </w:pPr>
  </w:style>
  <w:style w:type="paragraph" w:styleId="12">
    <w:name w:val="Balloon Text"/>
    <w:basedOn w:val="1"/>
    <w:link w:val="38"/>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Subtitle"/>
    <w:basedOn w:val="1"/>
    <w:autoRedefine/>
    <w:qFormat/>
    <w:uiPriority w:val="0"/>
    <w:pPr>
      <w:spacing w:before="240" w:after="60" w:line="312" w:lineRule="auto"/>
      <w:jc w:val="center"/>
      <w:outlineLvl w:val="1"/>
    </w:pPr>
    <w:rPr>
      <w:rFonts w:ascii="DejaVu Sans" w:hAnsi="DejaVu Sans"/>
      <w:b/>
      <w:kern w:val="28"/>
      <w:sz w:val="32"/>
    </w:rPr>
  </w:style>
  <w:style w:type="paragraph" w:styleId="17">
    <w:name w:val="toc 2"/>
    <w:basedOn w:val="1"/>
    <w:next w:val="1"/>
    <w:autoRedefine/>
    <w:qFormat/>
    <w:uiPriority w:val="0"/>
    <w:pPr>
      <w:ind w:left="420" w:leftChars="200"/>
    </w:pPr>
  </w:style>
  <w:style w:type="paragraph" w:styleId="18">
    <w:name w:val="Normal (Web)"/>
    <w:basedOn w:val="1"/>
    <w:qFormat/>
    <w:uiPriority w:val="0"/>
    <w:pPr>
      <w:jc w:val="left"/>
    </w:pPr>
    <w:rPr>
      <w:rFonts w:hint="eastAsia" w:ascii="微软雅黑" w:hAnsi="微软雅黑" w:eastAsia="微软雅黑"/>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FollowedHyperlink"/>
    <w:basedOn w:val="21"/>
    <w:autoRedefine/>
    <w:qFormat/>
    <w:uiPriority w:val="0"/>
    <w:rPr>
      <w:color w:val="6A6A6A"/>
      <w:u w:val="none"/>
    </w:rPr>
  </w:style>
  <w:style w:type="character" w:styleId="24">
    <w:name w:val="Emphasis"/>
    <w:basedOn w:val="21"/>
    <w:autoRedefine/>
    <w:qFormat/>
    <w:uiPriority w:val="0"/>
  </w:style>
  <w:style w:type="character" w:styleId="25">
    <w:name w:val="HTML Definition"/>
    <w:basedOn w:val="21"/>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6A6A6A"/>
      <w:u w:val="none"/>
    </w:rPr>
  </w:style>
  <w:style w:type="character" w:styleId="28">
    <w:name w:val="HTML Code"/>
    <w:basedOn w:val="21"/>
    <w:qFormat/>
    <w:uiPriority w:val="0"/>
    <w:rPr>
      <w:rFonts w:ascii="Courier New" w:hAnsi="Courier New"/>
      <w:sz w:val="20"/>
    </w:rPr>
  </w:style>
  <w:style w:type="character" w:styleId="29">
    <w:name w:val="HTML Cite"/>
    <w:basedOn w:val="21"/>
    <w:autoRedefine/>
    <w:qFormat/>
    <w:uiPriority w:val="0"/>
  </w:style>
  <w:style w:type="character" w:customStyle="1" w:styleId="30">
    <w:name w:val="标题 2 Char"/>
    <w:link w:val="6"/>
    <w:autoRedefine/>
    <w:qFormat/>
    <w:uiPriority w:val="9"/>
    <w:rPr>
      <w:rFonts w:eastAsia="宋体" w:asciiTheme="majorHAnsi" w:hAnsiTheme="majorHAnsi" w:cstheme="majorBidi"/>
      <w:b/>
      <w:bCs/>
      <w:sz w:val="32"/>
      <w:szCs w:val="32"/>
    </w:rPr>
  </w:style>
  <w:style w:type="character" w:customStyle="1" w:styleId="31">
    <w:name w:val="标题 3 Char"/>
    <w:link w:val="7"/>
    <w:qFormat/>
    <w:uiPriority w:val="0"/>
    <w:rPr>
      <w:b/>
      <w:sz w:val="28"/>
    </w:rPr>
  </w:style>
  <w:style w:type="character" w:customStyle="1" w:styleId="32">
    <w:name w:val="bsharetext"/>
    <w:basedOn w:val="21"/>
    <w:autoRedefine/>
    <w:qFormat/>
    <w:uiPriority w:val="0"/>
  </w:style>
  <w:style w:type="paragraph" w:customStyle="1" w:styleId="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7">
    <w:name w:val="标题 1 Char"/>
    <w:link w:val="5"/>
    <w:autoRedefine/>
    <w:qFormat/>
    <w:uiPriority w:val="9"/>
    <w:rPr>
      <w:rFonts w:eastAsia="宋体"/>
      <w:b/>
      <w:bCs/>
      <w:kern w:val="44"/>
      <w:sz w:val="40"/>
      <w:szCs w:val="44"/>
    </w:rPr>
  </w:style>
  <w:style w:type="character" w:customStyle="1" w:styleId="38">
    <w:name w:val="批注框文本 Char"/>
    <w:basedOn w:val="21"/>
    <w:link w:val="12"/>
    <w:qFormat/>
    <w:uiPriority w:val="0"/>
    <w:rPr>
      <w:rFonts w:ascii="Calibri" w:hAnsi="Calibri" w:eastAsia="华文仿宋"/>
      <w:kern w:val="2"/>
      <w:sz w:val="18"/>
      <w:szCs w:val="18"/>
    </w:rPr>
  </w:style>
  <w:style w:type="character" w:customStyle="1" w:styleId="39">
    <w:name w:val="font81"/>
    <w:basedOn w:val="21"/>
    <w:qFormat/>
    <w:uiPriority w:val="0"/>
    <w:rPr>
      <w:rFonts w:hint="eastAsia" w:ascii="宋体" w:hAnsi="宋体" w:eastAsia="宋体" w:cs="宋体"/>
      <w:color w:val="000000"/>
      <w:sz w:val="20"/>
      <w:szCs w:val="20"/>
      <w:u w:val="none"/>
    </w:rPr>
  </w:style>
  <w:style w:type="character" w:customStyle="1" w:styleId="40">
    <w:name w:val="font112"/>
    <w:basedOn w:val="2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10750</Words>
  <Characters>11309</Characters>
  <Lines>227</Lines>
  <Paragraphs>64</Paragraphs>
  <TotalTime>78</TotalTime>
  <ScaleCrop>false</ScaleCrop>
  <LinksUpToDate>false</LinksUpToDate>
  <CharactersWithSpaces>11467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2020-07-07T17:38:00Z</dcterms:created>
  <dc:creator>虎‖蔷薇</dc:creator>
  <cp:lastModifiedBy>Administrator</cp:lastModifiedBy>
  <cp:lastPrinted>2021-12-14T23:02:00Z</cp:lastPrinted>
  <dcterms:modified xsi:type="dcterms:W3CDTF">2025-03-21T00:43:09Z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642FC885CEAC42D2B083176D2BF2D251</vt:lpwstr>
  </property>
  <property fmtid="{D5CDD505-2E9C-101B-9397-08002B2CF9AE}" pid="4" name="KSOTemplateDocerSaveRecord">
    <vt:lpwstr>eyJoZGlkIjoiZTJiNWI5MjJhMDk4YjQ4MTBkMjc5ZWIwM2MzMmMwMGEifQ==</vt:lpwstr>
  </property>
</Properties>
</file>