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E6176F" w:rsidRDefault="00E6176F">
      <w:pPr>
        <w:rPr>
          <w:rFonts w:ascii="仿宋_GB2312" w:eastAsia="仿宋_GB2312" w:hAnsi="黑体" w:cs="宋体" w:hint="eastAsia"/>
          <w:sz w:val="32"/>
          <w:szCs w:val="32"/>
        </w:rPr>
      </w:pPr>
      <w:r w:rsidRPr="00E6176F">
        <w:rPr>
          <w:rFonts w:ascii="仿宋_GB2312" w:eastAsia="仿宋_GB2312" w:hAnsi="黑体" w:cs="宋体"/>
          <w:sz w:val="32"/>
          <w:szCs w:val="32"/>
        </w:rPr>
        <w:t>4.4.3对扣缴义务人应扣未扣、应收未收税款的处罚</w:t>
      </w:r>
    </w:p>
    <w:p w:rsidR="00E6176F" w:rsidRPr="001570C2" w:rsidRDefault="00E6176F" w:rsidP="00E6176F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E6176F" w:rsidRPr="00D27F29" w:rsidRDefault="00E6176F" w:rsidP="00E6176F">
      <w:pPr>
        <w:rPr>
          <w:rFonts w:ascii="仿宋_GB2312" w:eastAsia="仿宋_GB2312" w:hAnsi="黑体" w:hint="eastAsia"/>
          <w:sz w:val="32"/>
          <w:szCs w:val="32"/>
        </w:rPr>
      </w:pPr>
    </w:p>
    <w:p w:rsidR="00E6176F" w:rsidRPr="00D27F29" w:rsidRDefault="00E6176F" w:rsidP="00E6176F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731" r:id="rId5"/>
        </w:object>
      </w:r>
    </w:p>
    <w:p w:rsidR="00E6176F" w:rsidRPr="001570C2" w:rsidRDefault="00E6176F" w:rsidP="00E6176F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E6176F" w:rsidRDefault="00E6176F" w:rsidP="00E6176F">
      <w:pPr>
        <w:rPr>
          <w:rFonts w:ascii="仿宋_GB2312" w:eastAsia="仿宋_GB2312" w:hAnsi="华文楷体"/>
          <w:sz w:val="32"/>
          <w:szCs w:val="32"/>
        </w:rPr>
      </w:pPr>
    </w:p>
    <w:p w:rsidR="00E6176F" w:rsidRDefault="00E6176F" w:rsidP="00E6176F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732" r:id="rId7"/>
        </w:object>
      </w:r>
    </w:p>
    <w:sectPr w:rsidR="00E6176F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176F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176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2020-02-16T04:52:00Z</dcterms:created>
  <dcterms:modified xsi:type="dcterms:W3CDTF">2020-02-16T04:52:00Z</dcterms:modified>
</cp:coreProperties>
</file>