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DE3AAE">
      <w:pPr>
        <w:rPr>
          <w:rFonts w:ascii="仿宋_GB2312" w:eastAsia="仿宋_GB2312" w:hint="eastAsia"/>
          <w:sz w:val="32"/>
          <w:szCs w:val="32"/>
        </w:rPr>
      </w:pPr>
      <w:r w:rsidRPr="001D1C9F">
        <w:rPr>
          <w:rFonts w:ascii="仿宋_GB2312" w:eastAsia="仿宋_GB2312" w:hint="eastAsia"/>
          <w:sz w:val="32"/>
          <w:szCs w:val="32"/>
        </w:rPr>
        <w:t>4.2.1对未按照规定设置、保管账簿或者保管记账凭证和有关资料，未按照规定报送财务、会计制度、办法和会计核算软件，未按照规定安装、使用或者损毁、擅自改动税控装置的处罚</w:t>
      </w:r>
    </w:p>
    <w:p w:rsidR="00DE3AAE" w:rsidRPr="001570C2" w:rsidRDefault="00DE3AAE" w:rsidP="00DE3AAE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DE3AAE" w:rsidRPr="00D27F29" w:rsidRDefault="00DE3AAE" w:rsidP="00DE3AAE">
      <w:pPr>
        <w:rPr>
          <w:rFonts w:ascii="仿宋_GB2312" w:eastAsia="仿宋_GB2312" w:hAnsi="黑体" w:hint="eastAsia"/>
          <w:sz w:val="32"/>
          <w:szCs w:val="32"/>
        </w:rPr>
      </w:pPr>
    </w:p>
    <w:p w:rsidR="00DE3AAE" w:rsidRPr="00D27F29" w:rsidRDefault="00DE3AAE" w:rsidP="00DE3AAE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5481" r:id="rId5"/>
        </w:object>
      </w:r>
    </w:p>
    <w:p w:rsidR="00DE3AAE" w:rsidRPr="001570C2" w:rsidRDefault="00DE3AAE" w:rsidP="00DE3AAE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DE3AAE" w:rsidRDefault="00DE3AAE" w:rsidP="00DE3AAE">
      <w:pPr>
        <w:rPr>
          <w:rFonts w:ascii="仿宋_GB2312" w:eastAsia="仿宋_GB2312" w:hAnsi="华文楷体"/>
          <w:sz w:val="32"/>
          <w:szCs w:val="32"/>
        </w:rPr>
      </w:pPr>
    </w:p>
    <w:p w:rsidR="00DE3AAE" w:rsidRDefault="00DE3AAE" w:rsidP="00DE3AAE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5482" r:id="rId7"/>
        </w:object>
      </w:r>
    </w:p>
    <w:sectPr w:rsidR="00DE3AAE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3AA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3AAE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2020-02-15T07:23:00Z</dcterms:created>
  <dcterms:modified xsi:type="dcterms:W3CDTF">2020-02-15T07:23:00Z</dcterms:modified>
</cp:coreProperties>
</file>