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s="仿宋_GB2312"/>
          <w:sz w:val="32"/>
          <w:szCs w:val="32"/>
        </w:rPr>
      </w:pPr>
      <w:r>
        <w:rPr>
          <w:rFonts w:hint="eastAsia" w:ascii="仿宋" w:hAnsi="仿宋" w:eastAsia="仿宋" w:cs="仿宋_GB2312"/>
          <w:sz w:val="32"/>
          <w:szCs w:val="32"/>
        </w:rPr>
        <w:t>附件</w:t>
      </w:r>
      <w:r>
        <w:rPr>
          <w:rFonts w:ascii="仿宋" w:hAnsi="仿宋" w:eastAsia="仿宋" w:cs="仿宋_GB2312"/>
          <w:sz w:val="32"/>
          <w:szCs w:val="32"/>
        </w:rPr>
        <w:t>4</w:t>
      </w:r>
    </w:p>
    <w:p>
      <w:pPr>
        <w:spacing w:line="560" w:lineRule="exact"/>
        <w:jc w:val="center"/>
        <w:rPr>
          <w:rFonts w:ascii="仿宋_GB2312" w:hAnsi="黑体" w:eastAsia="仿宋_GB2312" w:cs="Arial"/>
          <w:sz w:val="44"/>
          <w:szCs w:val="44"/>
        </w:rPr>
      </w:pPr>
    </w:p>
    <w:p>
      <w:pPr>
        <w:spacing w:line="560" w:lineRule="exact"/>
        <w:jc w:val="center"/>
        <w:rPr>
          <w:rFonts w:ascii="方正小标宋简体" w:hAnsi="黑体" w:eastAsia="方正小标宋简体" w:cs="Arial"/>
          <w:sz w:val="44"/>
          <w:szCs w:val="44"/>
        </w:rPr>
      </w:pPr>
      <w:r>
        <w:rPr>
          <w:rFonts w:hint="eastAsia" w:ascii="方正小标宋简体" w:hAnsi="黑体" w:eastAsia="方正小标宋简体" w:cs="Arial"/>
          <w:sz w:val="44"/>
          <w:szCs w:val="44"/>
        </w:rPr>
        <w:t>对外宣传经费</w:t>
      </w:r>
    </w:p>
    <w:p>
      <w:pPr>
        <w:spacing w:line="560" w:lineRule="exact"/>
        <w:jc w:val="center"/>
        <w:rPr>
          <w:rFonts w:ascii="方正小标宋简体" w:hAnsi="黑体" w:eastAsia="方正小标宋简体" w:cs="Times New Roman"/>
          <w:sz w:val="44"/>
          <w:szCs w:val="44"/>
        </w:rPr>
      </w:pPr>
      <w:r>
        <w:rPr>
          <w:rFonts w:hint="eastAsia" w:ascii="方正小标宋简体" w:hAnsi="黑体" w:eastAsia="方正小标宋简体" w:cs="Arial"/>
          <w:sz w:val="44"/>
          <w:szCs w:val="44"/>
        </w:rPr>
        <w:t>项目支出绩效评价报告</w:t>
      </w:r>
    </w:p>
    <w:p>
      <w:pPr>
        <w:spacing w:line="560" w:lineRule="exact"/>
        <w:rPr>
          <w:rFonts w:ascii="黑体" w:hAnsi="黑体" w:eastAsia="黑体" w:cs="仿宋_GB2312"/>
          <w:sz w:val="32"/>
          <w:szCs w:val="32"/>
        </w:rPr>
      </w:pPr>
    </w:p>
    <w:p>
      <w:pPr>
        <w:spacing w:line="560" w:lineRule="exact"/>
        <w:ind w:firstLine="600"/>
        <w:rPr>
          <w:rFonts w:ascii="黑体" w:hAnsi="黑体" w:eastAsia="黑体" w:cs="黑体"/>
          <w:b/>
          <w:sz w:val="32"/>
          <w:szCs w:val="32"/>
        </w:rPr>
      </w:pPr>
      <w:r>
        <w:rPr>
          <w:rFonts w:hint="eastAsia" w:ascii="黑体" w:hAnsi="黑体" w:eastAsia="黑体" w:cs="黑体"/>
          <w:b/>
          <w:sz w:val="32"/>
          <w:szCs w:val="32"/>
        </w:rPr>
        <w:t>一、基本情况</w:t>
      </w:r>
    </w:p>
    <w:p>
      <w:pPr>
        <w:spacing w:line="560" w:lineRule="exact"/>
        <w:ind w:firstLine="600"/>
        <w:outlineLvl w:val="0"/>
        <w:rPr>
          <w:rFonts w:ascii="仿宋_GB2312" w:hAnsi="仿宋" w:eastAsia="仿宋_GB2312" w:cs="仿宋_GB2312"/>
          <w:b/>
          <w:sz w:val="32"/>
          <w:szCs w:val="32"/>
        </w:rPr>
      </w:pPr>
      <w:r>
        <w:rPr>
          <w:rFonts w:hint="eastAsia" w:ascii="仿宋_GB2312" w:hAnsi="仿宋" w:eastAsia="仿宋_GB2312" w:cs="仿宋_GB2312"/>
          <w:b/>
          <w:sz w:val="32"/>
          <w:szCs w:val="32"/>
        </w:rPr>
        <w:t>（一）项目概况。</w:t>
      </w:r>
    </w:p>
    <w:p>
      <w:pPr>
        <w:spacing w:line="560" w:lineRule="exact"/>
        <w:ind w:firstLine="600"/>
        <w:outlineLvl w:val="0"/>
        <w:rPr>
          <w:rFonts w:ascii="仿宋_GB2312" w:hAnsi="仿宋" w:eastAsia="仿宋_GB2312"/>
          <w:sz w:val="32"/>
          <w:szCs w:val="32"/>
        </w:rPr>
      </w:pPr>
      <w:r>
        <w:rPr>
          <w:rFonts w:hint="eastAsia" w:ascii="仿宋_GB2312" w:hAnsi="仿宋" w:eastAsia="仿宋_GB2312"/>
          <w:sz w:val="32"/>
          <w:szCs w:val="32"/>
        </w:rPr>
        <w:t>市宣传部负责统筹协调全市对外宣传工作，贯彻党中央、省委对外宣传的工作战略、重大方针政策，研究拟订全市对外宣传事业发展的总体规划。该项目根据市委外宣工作安排，并经市委外宣领导小组主要领导审定立项。</w:t>
      </w:r>
    </w:p>
    <w:p>
      <w:pPr>
        <w:spacing w:line="560" w:lineRule="exact"/>
        <w:ind w:firstLine="600"/>
        <w:outlineLvl w:val="0"/>
        <w:rPr>
          <w:rFonts w:ascii="仿宋_GB2312" w:hAnsi="仿宋" w:eastAsia="仿宋_GB2312"/>
          <w:sz w:val="32"/>
          <w:szCs w:val="32"/>
        </w:rPr>
      </w:pPr>
      <w:r>
        <w:rPr>
          <w:rFonts w:hint="eastAsia" w:ascii="仿宋_GB2312" w:hAnsi="仿宋" w:eastAsia="仿宋_GB2312"/>
          <w:sz w:val="32"/>
          <w:szCs w:val="32"/>
        </w:rPr>
        <w:t>项目年初预算资金</w:t>
      </w:r>
      <w:r>
        <w:rPr>
          <w:rFonts w:ascii="仿宋_GB2312" w:hAnsi="仿宋" w:eastAsia="仿宋_GB2312"/>
          <w:sz w:val="32"/>
          <w:szCs w:val="32"/>
        </w:rPr>
        <w:t>260</w:t>
      </w:r>
      <w:r>
        <w:rPr>
          <w:rFonts w:hint="eastAsia" w:ascii="仿宋_GB2312" w:hAnsi="仿宋" w:eastAsia="仿宋_GB2312"/>
          <w:sz w:val="32"/>
          <w:szCs w:val="32"/>
        </w:rPr>
        <w:t>万元，年中追加资金76.80万元，全年执行数为293.53万元，执行率87.15</w:t>
      </w:r>
      <w:r>
        <w:rPr>
          <w:rFonts w:ascii="仿宋_GB2312" w:hAnsi="仿宋" w:eastAsia="仿宋_GB2312"/>
          <w:sz w:val="32"/>
          <w:szCs w:val="32"/>
        </w:rPr>
        <w:t>%</w:t>
      </w:r>
      <w:r>
        <w:rPr>
          <w:rFonts w:hint="eastAsia" w:ascii="仿宋_GB2312" w:hAnsi="仿宋" w:eastAsia="仿宋_GB2312"/>
          <w:sz w:val="32"/>
          <w:szCs w:val="32"/>
        </w:rPr>
        <w:t>。该项目资金主要用于以下几个方面：（</w:t>
      </w:r>
      <w:r>
        <w:rPr>
          <w:rFonts w:ascii="仿宋_GB2312" w:hAnsi="仿宋" w:eastAsia="仿宋_GB2312"/>
          <w:sz w:val="32"/>
          <w:szCs w:val="32"/>
        </w:rPr>
        <w:t>1</w:t>
      </w:r>
      <w:r>
        <w:rPr>
          <w:rFonts w:hint="eastAsia" w:ascii="仿宋_GB2312" w:hAnsi="仿宋" w:eastAsia="仿宋_GB2312"/>
          <w:sz w:val="32"/>
          <w:szCs w:val="32"/>
        </w:rPr>
        <w:t>）媒体合作，专栏专版专题外宣：</w:t>
      </w:r>
      <w:r>
        <w:rPr>
          <w:rFonts w:ascii="仿宋_GB2312" w:hAnsi="仿宋" w:eastAsia="仿宋_GB2312"/>
          <w:sz w:val="32"/>
          <w:szCs w:val="32"/>
        </w:rPr>
        <w:t xml:space="preserve"> 1</w:t>
      </w:r>
      <w:r>
        <w:rPr>
          <w:rFonts w:hint="eastAsia" w:ascii="仿宋_GB2312" w:hAnsi="仿宋" w:eastAsia="仿宋_GB2312"/>
          <w:sz w:val="32"/>
          <w:szCs w:val="32"/>
        </w:rPr>
        <w:t>、全年借助媒体面向国内外宣传“</w:t>
      </w:r>
      <w:r>
        <w:rPr>
          <w:rFonts w:hint="eastAsia" w:ascii="仿宋" w:hAnsi="仿宋" w:eastAsia="仿宋" w:cs="仿宋_GB2312"/>
          <w:color w:val="000000"/>
          <w:sz w:val="32"/>
          <w:szCs w:val="32"/>
        </w:rPr>
        <w:t>创意黄山 美在徽州</w:t>
      </w:r>
      <w:r>
        <w:rPr>
          <w:rFonts w:hint="eastAsia" w:ascii="仿宋_GB2312" w:hAnsi="仿宋" w:eastAsia="仿宋_GB2312"/>
          <w:sz w:val="32"/>
          <w:szCs w:val="32"/>
        </w:rPr>
        <w:t>”城市形象，</w:t>
      </w:r>
      <w:r>
        <w:rPr>
          <w:rFonts w:ascii="仿宋_GB2312" w:hAnsi="仿宋" w:eastAsia="仿宋_GB2312"/>
          <w:sz w:val="32"/>
          <w:szCs w:val="32"/>
        </w:rPr>
        <w:t xml:space="preserve"> 2</w:t>
      </w:r>
      <w:r>
        <w:rPr>
          <w:rFonts w:hint="eastAsia" w:ascii="仿宋_GB2312" w:hAnsi="仿宋" w:eastAsia="仿宋_GB2312"/>
          <w:sz w:val="32"/>
          <w:szCs w:val="32"/>
        </w:rPr>
        <w:t>、人民网、新华网、央广网、国际在线等知名有影响力网络媒体专题宣传黄山（全年），</w:t>
      </w:r>
      <w:r>
        <w:rPr>
          <w:rFonts w:ascii="仿宋_GB2312" w:hAnsi="仿宋" w:eastAsia="仿宋_GB2312"/>
          <w:sz w:val="32"/>
          <w:szCs w:val="32"/>
        </w:rPr>
        <w:t xml:space="preserve"> 3</w:t>
      </w:r>
      <w:r>
        <w:rPr>
          <w:rFonts w:hint="eastAsia" w:ascii="仿宋_GB2312" w:hAnsi="仿宋" w:eastAsia="仿宋_GB2312"/>
          <w:sz w:val="32"/>
          <w:szCs w:val="32"/>
        </w:rPr>
        <w:t>、安徽日报、安徽广电台国际频道等省内主流媒体专版专栏宣传，</w:t>
      </w:r>
      <w:r>
        <w:rPr>
          <w:rFonts w:ascii="仿宋_GB2312" w:hAnsi="仿宋" w:eastAsia="仿宋_GB2312"/>
          <w:sz w:val="32"/>
          <w:szCs w:val="32"/>
        </w:rPr>
        <w:t xml:space="preserve"> 4</w:t>
      </w:r>
      <w:r>
        <w:rPr>
          <w:rFonts w:hint="eastAsia" w:ascii="仿宋_GB2312" w:hAnsi="仿宋" w:eastAsia="仿宋_GB2312"/>
          <w:sz w:val="32"/>
          <w:szCs w:val="32"/>
        </w:rPr>
        <w:t>、香港商报等境外媒体专版宣传黄山；（</w:t>
      </w:r>
      <w:r>
        <w:rPr>
          <w:rFonts w:ascii="仿宋_GB2312" w:hAnsi="仿宋" w:eastAsia="仿宋_GB2312"/>
          <w:sz w:val="32"/>
          <w:szCs w:val="32"/>
        </w:rPr>
        <w:t>2</w:t>
      </w:r>
      <w:r>
        <w:rPr>
          <w:rFonts w:hint="eastAsia" w:ascii="仿宋_GB2312" w:hAnsi="仿宋" w:eastAsia="仿宋_GB2312"/>
          <w:sz w:val="32"/>
          <w:szCs w:val="32"/>
        </w:rPr>
        <w:t>）举办中央省级媒体看黄山集中采访活动；（</w:t>
      </w:r>
      <w:r>
        <w:rPr>
          <w:rFonts w:ascii="仿宋_GB2312" w:hAnsi="仿宋" w:eastAsia="仿宋_GB2312"/>
          <w:sz w:val="32"/>
          <w:szCs w:val="32"/>
        </w:rPr>
        <w:t>3</w:t>
      </w:r>
      <w:r>
        <w:rPr>
          <w:rFonts w:hint="eastAsia" w:ascii="仿宋_GB2312" w:hAnsi="仿宋" w:eastAsia="仿宋_GB2312"/>
          <w:sz w:val="32"/>
          <w:szCs w:val="32"/>
        </w:rPr>
        <w:t>）召开全市外宣选题谋划现场会；（</w:t>
      </w:r>
      <w:r>
        <w:rPr>
          <w:rFonts w:ascii="仿宋_GB2312" w:hAnsi="仿宋" w:eastAsia="仿宋_GB2312"/>
          <w:sz w:val="32"/>
          <w:szCs w:val="32"/>
        </w:rPr>
        <w:t>4</w:t>
      </w:r>
      <w:r>
        <w:rPr>
          <w:rFonts w:hint="eastAsia" w:ascii="仿宋_GB2312" w:hAnsi="仿宋" w:eastAsia="仿宋_GB2312"/>
          <w:sz w:val="32"/>
          <w:szCs w:val="32"/>
        </w:rPr>
        <w:t>）媒体招待费。（</w:t>
      </w:r>
      <w:r>
        <w:rPr>
          <w:rFonts w:ascii="仿宋_GB2312" w:hAnsi="仿宋" w:eastAsia="仿宋_GB2312"/>
          <w:sz w:val="32"/>
          <w:szCs w:val="32"/>
        </w:rPr>
        <w:t>5</w:t>
      </w:r>
      <w:r>
        <w:rPr>
          <w:rFonts w:hint="eastAsia" w:ascii="仿宋_GB2312" w:hAnsi="仿宋" w:eastAsia="仿宋_GB2312"/>
          <w:sz w:val="32"/>
          <w:szCs w:val="32"/>
        </w:rPr>
        <w:t>）培训费：</w:t>
      </w:r>
      <w:r>
        <w:rPr>
          <w:rFonts w:ascii="仿宋_GB2312" w:hAnsi="仿宋" w:eastAsia="仿宋_GB2312"/>
          <w:sz w:val="32"/>
          <w:szCs w:val="32"/>
        </w:rPr>
        <w:t xml:space="preserve"> 1</w:t>
      </w:r>
      <w:r>
        <w:rPr>
          <w:rFonts w:hint="eastAsia" w:ascii="仿宋_GB2312" w:hAnsi="仿宋" w:eastAsia="仿宋_GB2312"/>
          <w:sz w:val="32"/>
          <w:szCs w:val="32"/>
        </w:rPr>
        <w:t>、邀请专家授课培训全市新闻发言人，</w:t>
      </w:r>
      <w:r>
        <w:rPr>
          <w:rFonts w:ascii="仿宋_GB2312" w:hAnsi="仿宋" w:eastAsia="仿宋_GB2312"/>
          <w:sz w:val="32"/>
          <w:szCs w:val="32"/>
        </w:rPr>
        <w:t xml:space="preserve"> 2</w:t>
      </w:r>
      <w:r>
        <w:rPr>
          <w:rFonts w:hint="eastAsia" w:ascii="仿宋_GB2312" w:hAnsi="仿宋" w:eastAsia="仿宋_GB2312"/>
          <w:sz w:val="32"/>
          <w:szCs w:val="32"/>
        </w:rPr>
        <w:t>、组织重点部门和地区新闻发言人到外地高校针对性培训。（</w:t>
      </w:r>
      <w:r>
        <w:rPr>
          <w:rFonts w:ascii="仿宋_GB2312" w:hAnsi="仿宋" w:eastAsia="仿宋_GB2312"/>
          <w:sz w:val="32"/>
          <w:szCs w:val="32"/>
        </w:rPr>
        <w:t>6</w:t>
      </w:r>
      <w:r>
        <w:rPr>
          <w:rFonts w:hint="eastAsia" w:ascii="仿宋_GB2312" w:hAnsi="仿宋" w:eastAsia="仿宋_GB2312"/>
          <w:sz w:val="32"/>
          <w:szCs w:val="32"/>
        </w:rPr>
        <w:t>）新闻发布厅运营费及其他支出。</w:t>
      </w:r>
    </w:p>
    <w:p>
      <w:pPr>
        <w:spacing w:line="560" w:lineRule="exact"/>
        <w:ind w:firstLine="600"/>
        <w:rPr>
          <w:rFonts w:ascii="仿宋_GB2312" w:hAnsi="仿宋" w:eastAsia="仿宋_GB2312" w:cs="仿宋_GB2312"/>
          <w:b/>
          <w:sz w:val="32"/>
          <w:szCs w:val="32"/>
        </w:rPr>
      </w:pPr>
      <w:r>
        <w:rPr>
          <w:rFonts w:hint="eastAsia" w:ascii="仿宋_GB2312" w:hAnsi="仿宋" w:eastAsia="仿宋_GB2312" w:cs="仿宋_GB2312"/>
          <w:b/>
          <w:sz w:val="32"/>
          <w:szCs w:val="32"/>
        </w:rPr>
        <w:t>（二）项目绩效目标。</w:t>
      </w:r>
    </w:p>
    <w:p>
      <w:pPr>
        <w:spacing w:line="560" w:lineRule="exact"/>
        <w:ind w:firstLine="600"/>
        <w:rPr>
          <w:rFonts w:ascii="仿宋_GB2312" w:hAnsi="仿宋" w:eastAsia="仿宋_GB2312"/>
          <w:sz w:val="32"/>
          <w:szCs w:val="32"/>
        </w:rPr>
      </w:pPr>
      <w:r>
        <w:rPr>
          <w:rFonts w:hint="eastAsia" w:ascii="仿宋_GB2312" w:hAnsi="仿宋" w:eastAsia="仿宋_GB2312" w:cs="仿宋_GB2312"/>
          <w:sz w:val="32"/>
          <w:szCs w:val="32"/>
        </w:rPr>
        <w:t>总体目标：</w:t>
      </w:r>
      <w:r>
        <w:rPr>
          <w:rFonts w:hint="eastAsia" w:ascii="仿宋_GB2312" w:hAnsi="仿宋" w:eastAsia="仿宋_GB2312"/>
          <w:sz w:val="32"/>
          <w:szCs w:val="32"/>
        </w:rPr>
        <w:t>全方位多角度立体化，展示黄山美好形象，对外宣传黄山最强音。</w:t>
      </w:r>
    </w:p>
    <w:p>
      <w:pPr>
        <w:spacing w:line="560" w:lineRule="exact"/>
        <w:ind w:firstLine="600"/>
        <w:rPr>
          <w:rFonts w:ascii="仿宋_GB2312" w:hAnsi="仿宋" w:eastAsia="仿宋_GB2312"/>
          <w:sz w:val="32"/>
          <w:szCs w:val="32"/>
        </w:rPr>
      </w:pPr>
      <w:r>
        <w:rPr>
          <w:rFonts w:hint="eastAsia" w:ascii="仿宋_GB2312" w:hAnsi="仿宋" w:eastAsia="仿宋_GB2312" w:cs="仿宋_GB2312"/>
          <w:sz w:val="32"/>
          <w:szCs w:val="32"/>
        </w:rPr>
        <w:t>阶段性目标：</w:t>
      </w:r>
      <w:r>
        <w:rPr>
          <w:rFonts w:hint="eastAsia" w:ascii="仿宋_GB2312" w:hAnsi="仿宋" w:eastAsia="仿宋_GB2312"/>
          <w:sz w:val="32"/>
          <w:szCs w:val="32"/>
        </w:rPr>
        <w:t>一、媒体合作，开设专栏专版专题外宣：</w:t>
      </w:r>
      <w:r>
        <w:rPr>
          <w:rFonts w:ascii="仿宋_GB2312" w:hAnsi="仿宋" w:eastAsia="仿宋_GB2312"/>
          <w:sz w:val="32"/>
          <w:szCs w:val="32"/>
        </w:rPr>
        <w:t>1</w:t>
      </w:r>
      <w:r>
        <w:rPr>
          <w:rFonts w:hint="eastAsia" w:ascii="仿宋_GB2312" w:hAnsi="仿宋" w:eastAsia="仿宋_GB2312"/>
          <w:sz w:val="32"/>
          <w:szCs w:val="32"/>
        </w:rPr>
        <w:t>、全年借助国内外媒体宣传</w:t>
      </w:r>
      <w:r>
        <w:rPr>
          <w:rFonts w:ascii="仿宋_GB2312" w:hAnsi="仿宋" w:eastAsia="仿宋_GB2312"/>
          <w:sz w:val="32"/>
          <w:szCs w:val="32"/>
        </w:rPr>
        <w:t>“</w:t>
      </w:r>
      <w:r>
        <w:rPr>
          <w:rFonts w:hint="eastAsia" w:ascii="仿宋" w:hAnsi="仿宋" w:eastAsia="仿宋" w:cs="仿宋_GB2312"/>
          <w:color w:val="000000"/>
          <w:sz w:val="32"/>
          <w:szCs w:val="32"/>
        </w:rPr>
        <w:t>创意黄山 美在徽州</w:t>
      </w:r>
      <w:r>
        <w:rPr>
          <w:rFonts w:ascii="仿宋_GB2312" w:hAnsi="仿宋" w:eastAsia="仿宋_GB2312"/>
          <w:sz w:val="32"/>
          <w:szCs w:val="32"/>
        </w:rPr>
        <w:t>”</w:t>
      </w:r>
      <w:r>
        <w:rPr>
          <w:rFonts w:hint="eastAsia" w:ascii="仿宋_GB2312" w:hAnsi="仿宋" w:eastAsia="仿宋_GB2312"/>
          <w:sz w:val="32"/>
          <w:szCs w:val="32"/>
        </w:rPr>
        <w:t>形象；</w:t>
      </w:r>
      <w:r>
        <w:rPr>
          <w:rFonts w:ascii="仿宋_GB2312" w:hAnsi="仿宋" w:eastAsia="仿宋_GB2312"/>
          <w:sz w:val="32"/>
          <w:szCs w:val="32"/>
        </w:rPr>
        <w:t>2</w:t>
      </w:r>
      <w:r>
        <w:rPr>
          <w:rFonts w:hint="eastAsia" w:ascii="仿宋_GB2312" w:hAnsi="仿宋" w:eastAsia="仿宋_GB2312"/>
          <w:sz w:val="32"/>
          <w:szCs w:val="32"/>
        </w:rPr>
        <w:t>、人民网、新华网、央广网等知名有影响力网络媒体专题宣传黄山；</w:t>
      </w:r>
      <w:r>
        <w:rPr>
          <w:rFonts w:ascii="仿宋_GB2312" w:hAnsi="仿宋" w:eastAsia="仿宋_GB2312"/>
          <w:sz w:val="32"/>
          <w:szCs w:val="32"/>
        </w:rPr>
        <w:t>3</w:t>
      </w:r>
      <w:r>
        <w:rPr>
          <w:rFonts w:hint="eastAsia" w:ascii="仿宋_GB2312" w:hAnsi="仿宋" w:eastAsia="仿宋_GB2312"/>
          <w:sz w:val="32"/>
          <w:szCs w:val="32"/>
        </w:rPr>
        <w:t>、安徽日报、安徽广电台国际频道、安徽之声等专版专栏宣传；</w:t>
      </w:r>
      <w:r>
        <w:rPr>
          <w:rFonts w:ascii="仿宋_GB2312" w:hAnsi="仿宋" w:eastAsia="仿宋_GB2312"/>
          <w:sz w:val="32"/>
          <w:szCs w:val="32"/>
        </w:rPr>
        <w:t>4</w:t>
      </w:r>
      <w:r>
        <w:rPr>
          <w:rFonts w:hint="eastAsia" w:ascii="仿宋_GB2312" w:hAnsi="仿宋" w:eastAsia="仿宋_GB2312"/>
          <w:sz w:val="32"/>
          <w:szCs w:val="32"/>
        </w:rPr>
        <w:t>、香港商报等境外媒体专版宣传黄山。二、举办中央省级媒体看黄山集中采访活动；三、举办对外宣传工作培训班：</w:t>
      </w:r>
      <w:r>
        <w:rPr>
          <w:rFonts w:ascii="仿宋_GB2312" w:hAnsi="仿宋" w:eastAsia="仿宋_GB2312"/>
          <w:sz w:val="32"/>
          <w:szCs w:val="32"/>
        </w:rPr>
        <w:t>1</w:t>
      </w:r>
      <w:r>
        <w:rPr>
          <w:rFonts w:hint="eastAsia" w:ascii="仿宋_GB2312" w:hAnsi="仿宋" w:eastAsia="仿宋_GB2312"/>
          <w:sz w:val="32"/>
          <w:szCs w:val="32"/>
        </w:rPr>
        <w:t>、邀请专家授课培训全市新闻发言人；</w:t>
      </w:r>
      <w:r>
        <w:rPr>
          <w:rFonts w:ascii="仿宋_GB2312" w:hAnsi="仿宋" w:eastAsia="仿宋_GB2312"/>
          <w:sz w:val="32"/>
          <w:szCs w:val="32"/>
        </w:rPr>
        <w:t>2</w:t>
      </w:r>
      <w:r>
        <w:rPr>
          <w:rFonts w:hint="eastAsia" w:ascii="仿宋_GB2312" w:hAnsi="仿宋" w:eastAsia="仿宋_GB2312"/>
          <w:sz w:val="32"/>
          <w:szCs w:val="32"/>
        </w:rPr>
        <w:t>、组织重点部门和地区新闻发言人到外地高校培训。四、新闻发布厅运营等。</w:t>
      </w:r>
    </w:p>
    <w:p>
      <w:pPr>
        <w:spacing w:line="560" w:lineRule="exact"/>
        <w:ind w:firstLine="600"/>
        <w:rPr>
          <w:rFonts w:ascii="黑体" w:hAnsi="黑体" w:eastAsia="黑体" w:cs="黑体"/>
          <w:b/>
          <w:sz w:val="32"/>
          <w:szCs w:val="32"/>
        </w:rPr>
      </w:pPr>
      <w:r>
        <w:rPr>
          <w:rFonts w:hint="eastAsia" w:ascii="黑体" w:hAnsi="黑体" w:eastAsia="黑体" w:cs="黑体"/>
          <w:b/>
          <w:sz w:val="32"/>
          <w:szCs w:val="32"/>
        </w:rPr>
        <w:t>二、绩效评价工作开展情况</w:t>
      </w:r>
    </w:p>
    <w:p>
      <w:pPr>
        <w:spacing w:line="560" w:lineRule="exact"/>
        <w:ind w:firstLine="600"/>
        <w:rPr>
          <w:rFonts w:ascii="仿宋_GB2312" w:hAnsi="仿宋" w:eastAsia="仿宋_GB2312" w:cs="仿宋_GB2312"/>
          <w:b/>
          <w:sz w:val="32"/>
          <w:szCs w:val="32"/>
        </w:rPr>
      </w:pPr>
      <w:r>
        <w:rPr>
          <w:rFonts w:hint="eastAsia" w:ascii="仿宋_GB2312" w:hAnsi="仿宋" w:eastAsia="仿宋_GB2312" w:cs="仿宋_GB2312"/>
          <w:b/>
          <w:sz w:val="32"/>
          <w:szCs w:val="32"/>
        </w:rPr>
        <w:t>（一）绩效评价目的、对象和范围。</w:t>
      </w:r>
    </w:p>
    <w:p>
      <w:pPr>
        <w:spacing w:line="560" w:lineRule="exact"/>
        <w:ind w:firstLine="600"/>
        <w:rPr>
          <w:rFonts w:ascii="仿宋_GB2312" w:hAnsi="仿宋" w:eastAsia="仿宋_GB2312" w:cs="仿宋_GB2312"/>
          <w:sz w:val="32"/>
          <w:szCs w:val="32"/>
          <w:lang w:val="zh-CN"/>
        </w:rPr>
      </w:pPr>
      <w:r>
        <w:rPr>
          <w:rFonts w:hint="eastAsia" w:ascii="仿宋_GB2312" w:hAnsi="仿宋" w:eastAsia="仿宋_GB2312" w:cs="仿宋_GB2312"/>
          <w:sz w:val="32"/>
          <w:szCs w:val="32"/>
          <w:lang w:val="zh-CN"/>
        </w:rPr>
        <w:t>根据省、市关于全面实施绩效管理的相关规定，统筹社会效益和经济效益的关系，专款专用，切实提高财政资金使用效益，对</w:t>
      </w:r>
      <w:r>
        <w:rPr>
          <w:rFonts w:hint="eastAsia" w:ascii="仿宋_GB2312" w:hAnsi="仿宋" w:eastAsia="仿宋_GB2312"/>
          <w:sz w:val="32"/>
          <w:szCs w:val="32"/>
        </w:rPr>
        <w:t>对外宣传经费</w:t>
      </w:r>
      <w:r>
        <w:rPr>
          <w:rFonts w:hint="eastAsia" w:ascii="仿宋_GB2312" w:hAnsi="仿宋" w:eastAsia="仿宋_GB2312" w:cs="仿宋_GB2312"/>
          <w:sz w:val="32"/>
          <w:szCs w:val="32"/>
          <w:lang w:val="zh-CN"/>
        </w:rPr>
        <w:t>项目实施绩效自评。</w:t>
      </w:r>
    </w:p>
    <w:p>
      <w:pPr>
        <w:spacing w:line="560" w:lineRule="exact"/>
        <w:ind w:firstLine="600"/>
        <w:rPr>
          <w:rFonts w:ascii="仿宋_GB2312" w:hAnsi="仿宋" w:eastAsia="仿宋_GB2312" w:cs="仿宋_GB2312"/>
          <w:b/>
          <w:sz w:val="32"/>
          <w:szCs w:val="32"/>
        </w:rPr>
      </w:pPr>
      <w:r>
        <w:rPr>
          <w:rFonts w:hint="eastAsia" w:ascii="仿宋_GB2312" w:hAnsi="仿宋" w:eastAsia="仿宋_GB2312" w:cs="仿宋_GB2312"/>
          <w:b/>
          <w:sz w:val="32"/>
          <w:szCs w:val="32"/>
        </w:rPr>
        <w:t>（二）绩效评价原则、评价指标体系（附表说明）、评价方法、评价标准等。</w:t>
      </w:r>
    </w:p>
    <w:p>
      <w:pPr>
        <w:spacing w:line="560" w:lineRule="exact"/>
        <w:ind w:firstLine="600"/>
        <w:rPr>
          <w:rFonts w:ascii="仿宋_GB2312" w:hAnsi="仿宋" w:eastAsia="仿宋_GB2312" w:cs="仿宋_GB2312"/>
          <w:sz w:val="32"/>
          <w:szCs w:val="32"/>
        </w:rPr>
      </w:pPr>
      <w:r>
        <w:rPr>
          <w:rFonts w:hint="eastAsia" w:ascii="仿宋_GB2312" w:hAnsi="仿宋" w:eastAsia="仿宋_GB2312" w:cs="仿宋_GB2312"/>
          <w:sz w:val="32"/>
          <w:szCs w:val="32"/>
        </w:rPr>
        <w:t>绩效评价原则：科学公正、统筹兼顾、激励约束、公开透明。</w:t>
      </w:r>
    </w:p>
    <w:p>
      <w:pPr>
        <w:spacing w:line="560" w:lineRule="exact"/>
        <w:ind w:firstLine="600"/>
        <w:rPr>
          <w:rFonts w:ascii="仿宋_GB2312" w:hAnsi="仿宋" w:eastAsia="仿宋_GB2312" w:cs="仿宋_GB2312"/>
          <w:sz w:val="32"/>
          <w:szCs w:val="32"/>
        </w:rPr>
      </w:pPr>
      <w:r>
        <w:rPr>
          <w:rFonts w:hint="eastAsia" w:ascii="仿宋_GB2312" w:hAnsi="仿宋" w:eastAsia="仿宋_GB2312" w:cs="仿宋_GB2312"/>
          <w:sz w:val="32"/>
          <w:szCs w:val="32"/>
        </w:rPr>
        <w:t>绩效评价体系：</w:t>
      </w:r>
    </w:p>
    <w:tbl>
      <w:tblPr>
        <w:tblStyle w:val="4"/>
        <w:tblW w:w="9144" w:type="dxa"/>
        <w:tblInd w:w="0" w:type="dxa"/>
        <w:tblLayout w:type="fixed"/>
        <w:tblCellMar>
          <w:top w:w="15" w:type="dxa"/>
          <w:left w:w="15" w:type="dxa"/>
          <w:bottom w:w="15" w:type="dxa"/>
          <w:right w:w="15" w:type="dxa"/>
        </w:tblCellMar>
      </w:tblPr>
      <w:tblGrid>
        <w:gridCol w:w="698"/>
        <w:gridCol w:w="712"/>
        <w:gridCol w:w="900"/>
        <w:gridCol w:w="2340"/>
        <w:gridCol w:w="4494"/>
      </w:tblGrid>
      <w:tr>
        <w:tblPrEx>
          <w:tblCellMar>
            <w:top w:w="15" w:type="dxa"/>
            <w:left w:w="15" w:type="dxa"/>
            <w:bottom w:w="15" w:type="dxa"/>
            <w:right w:w="15" w:type="dxa"/>
          </w:tblCellMar>
        </w:tblPrEx>
        <w:trPr>
          <w:trHeight w:val="330" w:hRule="atLeast"/>
        </w:trPr>
        <w:tc>
          <w:tcPr>
            <w:tcW w:w="698"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b/>
                <w:bCs/>
                <w:color w:val="333333"/>
                <w:sz w:val="18"/>
                <w:szCs w:val="18"/>
              </w:rPr>
              <w:t>一级指标</w:t>
            </w:r>
          </w:p>
        </w:tc>
        <w:tc>
          <w:tcPr>
            <w:tcW w:w="712"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b/>
                <w:bCs/>
                <w:color w:val="333333"/>
                <w:sz w:val="18"/>
                <w:szCs w:val="18"/>
              </w:rPr>
              <w:t>二级指标</w:t>
            </w:r>
          </w:p>
        </w:tc>
        <w:tc>
          <w:tcPr>
            <w:tcW w:w="90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b/>
                <w:bCs/>
                <w:color w:val="333333"/>
                <w:sz w:val="18"/>
                <w:szCs w:val="18"/>
              </w:rPr>
              <w:t>三级指标</w:t>
            </w:r>
          </w:p>
        </w:tc>
        <w:tc>
          <w:tcPr>
            <w:tcW w:w="234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b/>
                <w:bCs/>
                <w:color w:val="333333"/>
                <w:sz w:val="18"/>
                <w:szCs w:val="18"/>
              </w:rPr>
              <w:t>指标解释</w:t>
            </w:r>
          </w:p>
        </w:tc>
        <w:tc>
          <w:tcPr>
            <w:tcW w:w="4494"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b/>
                <w:bCs/>
                <w:color w:val="333333"/>
                <w:sz w:val="18"/>
                <w:szCs w:val="18"/>
              </w:rPr>
              <w:t>指标说明</w:t>
            </w:r>
          </w:p>
        </w:tc>
      </w:tr>
      <w:tr>
        <w:tblPrEx>
          <w:tblCellMar>
            <w:top w:w="15" w:type="dxa"/>
            <w:left w:w="15" w:type="dxa"/>
            <w:bottom w:w="15" w:type="dxa"/>
            <w:right w:w="15" w:type="dxa"/>
          </w:tblCellMar>
        </w:tblPrEx>
        <w:trPr>
          <w:trHeight w:val="330" w:hRule="atLeast"/>
        </w:trPr>
        <w:tc>
          <w:tcPr>
            <w:tcW w:w="698" w:type="dxa"/>
            <w:vMerge w:val="restart"/>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vAlign w:val="cente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决策</w:t>
            </w:r>
          </w:p>
        </w:tc>
        <w:tc>
          <w:tcPr>
            <w:tcW w:w="712" w:type="dxa"/>
            <w:vMerge w:val="restart"/>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vAlign w:val="cente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项目立项</w:t>
            </w:r>
          </w:p>
        </w:tc>
        <w:tc>
          <w:tcPr>
            <w:tcW w:w="90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立项依据</w:t>
            </w:r>
          </w:p>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充分性</w:t>
            </w:r>
          </w:p>
        </w:tc>
        <w:tc>
          <w:tcPr>
            <w:tcW w:w="234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项目立项是否符合法律法规、相关政策、发展规划以及部门职责，用以反映和考核项目立项依据情况。</w:t>
            </w:r>
          </w:p>
        </w:tc>
        <w:tc>
          <w:tcPr>
            <w:tcW w:w="4494"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评价要点：</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①</w:t>
            </w:r>
            <w:r>
              <w:rPr>
                <w:rFonts w:hint="eastAsia" w:ascii="Arial" w:hAnsi="Arial" w:cs="Arial"/>
                <w:color w:val="333333"/>
                <w:sz w:val="18"/>
                <w:szCs w:val="18"/>
              </w:rPr>
              <w:t>项目立项是否符合国家法律法规、国民经济发展规划和相关政策；</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②</w:t>
            </w:r>
            <w:r>
              <w:rPr>
                <w:rFonts w:hint="eastAsia" w:ascii="Arial" w:hAnsi="Arial" w:cs="Arial"/>
                <w:color w:val="333333"/>
                <w:sz w:val="18"/>
                <w:szCs w:val="18"/>
              </w:rPr>
              <w:t>项目立项是否符合行业发展规划和政策要求；</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③</w:t>
            </w:r>
            <w:r>
              <w:rPr>
                <w:rFonts w:hint="eastAsia" w:ascii="Arial" w:hAnsi="Arial" w:cs="Arial"/>
                <w:color w:val="333333"/>
                <w:sz w:val="18"/>
                <w:szCs w:val="18"/>
              </w:rPr>
              <w:t>项目立项是否与部门职责范围相符，属于部门履职所需；</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④</w:t>
            </w:r>
            <w:r>
              <w:rPr>
                <w:rFonts w:hint="eastAsia" w:ascii="Arial" w:hAnsi="Arial" w:cs="Arial"/>
                <w:color w:val="333333"/>
                <w:sz w:val="18"/>
                <w:szCs w:val="18"/>
              </w:rPr>
              <w:t>项目是否属于公共财政支持范围，是否符合中央、地方事权支出责任划分原则；</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⑤</w:t>
            </w:r>
            <w:r>
              <w:rPr>
                <w:rFonts w:hint="eastAsia" w:ascii="Arial" w:hAnsi="Arial" w:cs="Arial"/>
                <w:color w:val="333333"/>
                <w:sz w:val="18"/>
                <w:szCs w:val="18"/>
              </w:rPr>
              <w:t>项目是否与相关部门同类项目或部门内部相关项目重复。</w:t>
            </w:r>
          </w:p>
        </w:tc>
      </w:tr>
      <w:tr>
        <w:tblPrEx>
          <w:tblCellMar>
            <w:top w:w="15" w:type="dxa"/>
            <w:left w:w="15" w:type="dxa"/>
            <w:bottom w:w="15" w:type="dxa"/>
            <w:right w:w="15" w:type="dxa"/>
          </w:tblCellMar>
        </w:tblPrEx>
        <w:trPr>
          <w:trHeight w:val="330" w:hRule="atLeast"/>
        </w:trPr>
        <w:tc>
          <w:tcPr>
            <w:tcW w:w="698" w:type="dxa"/>
            <w:vMerge w:val="continue"/>
            <w:tcBorders>
              <w:top w:val="single" w:color="E6E6E6" w:sz="6" w:space="0"/>
              <w:left w:val="single" w:color="E6E6E6" w:sz="6" w:space="0"/>
              <w:bottom w:val="single" w:color="E6E6E6" w:sz="6" w:space="0"/>
              <w:right w:val="single" w:color="E6E6E6" w:sz="6" w:space="0"/>
            </w:tcBorders>
            <w:shd w:val="clear" w:color="auto" w:fill="FFFFFF"/>
            <w:vAlign w:val="center"/>
          </w:tcPr>
          <w:p>
            <w:pPr>
              <w:jc w:val="left"/>
              <w:rPr>
                <w:rFonts w:ascii="Arial" w:hAnsi="Arial" w:cs="Arial"/>
                <w:color w:val="333333"/>
                <w:sz w:val="18"/>
                <w:szCs w:val="18"/>
              </w:rPr>
            </w:pPr>
          </w:p>
        </w:tc>
        <w:tc>
          <w:tcPr>
            <w:tcW w:w="712" w:type="dxa"/>
            <w:vMerge w:val="continue"/>
            <w:tcBorders>
              <w:top w:val="single" w:color="E6E6E6" w:sz="6" w:space="0"/>
              <w:left w:val="single" w:color="E6E6E6" w:sz="6" w:space="0"/>
              <w:bottom w:val="single" w:color="E6E6E6" w:sz="6" w:space="0"/>
              <w:right w:val="single" w:color="E6E6E6" w:sz="6" w:space="0"/>
            </w:tcBorders>
            <w:shd w:val="clear" w:color="auto" w:fill="FFFFFF"/>
            <w:vAlign w:val="center"/>
          </w:tcPr>
          <w:p>
            <w:pPr>
              <w:jc w:val="left"/>
              <w:rPr>
                <w:rFonts w:ascii="Arial" w:hAnsi="Arial" w:cs="Arial"/>
                <w:color w:val="333333"/>
                <w:sz w:val="18"/>
                <w:szCs w:val="18"/>
              </w:rPr>
            </w:pPr>
          </w:p>
        </w:tc>
        <w:tc>
          <w:tcPr>
            <w:tcW w:w="90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立项程序</w:t>
            </w:r>
          </w:p>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规范性</w:t>
            </w:r>
          </w:p>
        </w:tc>
        <w:tc>
          <w:tcPr>
            <w:tcW w:w="234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项目申请、设立过程是否符合相关要求，用以反映和考核项目立项的规范情况。</w:t>
            </w:r>
          </w:p>
        </w:tc>
        <w:tc>
          <w:tcPr>
            <w:tcW w:w="4494"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评价要点：</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①</w:t>
            </w:r>
            <w:r>
              <w:rPr>
                <w:rFonts w:hint="eastAsia" w:ascii="Arial" w:hAnsi="Arial" w:cs="Arial"/>
                <w:color w:val="333333"/>
                <w:sz w:val="18"/>
                <w:szCs w:val="18"/>
              </w:rPr>
              <w:t>项目是否按照规定的程序申请设立；</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②</w:t>
            </w:r>
            <w:r>
              <w:rPr>
                <w:rFonts w:hint="eastAsia" w:ascii="Arial" w:hAnsi="Arial" w:cs="Arial"/>
                <w:color w:val="333333"/>
                <w:sz w:val="18"/>
                <w:szCs w:val="18"/>
              </w:rPr>
              <w:t>审批文件、材料是否符合相关要求；</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③</w:t>
            </w:r>
            <w:r>
              <w:rPr>
                <w:rFonts w:hint="eastAsia" w:ascii="Arial" w:hAnsi="Arial" w:cs="Arial"/>
                <w:color w:val="333333"/>
                <w:sz w:val="18"/>
                <w:szCs w:val="18"/>
              </w:rPr>
              <w:t>事前是否已经过必要的可行性研究、专家论证、风险评估、绩效评估、集体决策。</w:t>
            </w:r>
          </w:p>
        </w:tc>
      </w:tr>
      <w:tr>
        <w:tblPrEx>
          <w:tblCellMar>
            <w:top w:w="15" w:type="dxa"/>
            <w:left w:w="15" w:type="dxa"/>
            <w:bottom w:w="15" w:type="dxa"/>
            <w:right w:w="15" w:type="dxa"/>
          </w:tblCellMar>
        </w:tblPrEx>
        <w:trPr>
          <w:trHeight w:val="330" w:hRule="atLeast"/>
        </w:trPr>
        <w:tc>
          <w:tcPr>
            <w:tcW w:w="698" w:type="dxa"/>
            <w:vMerge w:val="continue"/>
            <w:tcBorders>
              <w:top w:val="single" w:color="E6E6E6" w:sz="6" w:space="0"/>
              <w:left w:val="single" w:color="E6E6E6" w:sz="6" w:space="0"/>
              <w:bottom w:val="single" w:color="E6E6E6" w:sz="6" w:space="0"/>
              <w:right w:val="single" w:color="E6E6E6" w:sz="6" w:space="0"/>
            </w:tcBorders>
            <w:shd w:val="clear" w:color="auto" w:fill="FFFFFF"/>
            <w:vAlign w:val="center"/>
          </w:tcPr>
          <w:p>
            <w:pPr>
              <w:jc w:val="left"/>
              <w:rPr>
                <w:rFonts w:ascii="Arial" w:hAnsi="Arial" w:cs="Arial"/>
                <w:color w:val="333333"/>
                <w:sz w:val="18"/>
                <w:szCs w:val="18"/>
              </w:rPr>
            </w:pPr>
          </w:p>
        </w:tc>
        <w:tc>
          <w:tcPr>
            <w:tcW w:w="712"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绩效目标</w:t>
            </w:r>
          </w:p>
        </w:tc>
        <w:tc>
          <w:tcPr>
            <w:tcW w:w="90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绩效目标</w:t>
            </w:r>
          </w:p>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合理性</w:t>
            </w:r>
          </w:p>
        </w:tc>
        <w:tc>
          <w:tcPr>
            <w:tcW w:w="234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项目所设定的绩效目标是否依据充分，是否符合客观实际，用以反映和考核项目绩效目标与项目实施的相符情况。</w:t>
            </w:r>
          </w:p>
        </w:tc>
        <w:tc>
          <w:tcPr>
            <w:tcW w:w="4494"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评价要点：</w:t>
            </w:r>
            <w:r>
              <w:rPr>
                <w:rFonts w:ascii="Arial" w:hAnsi="Arial" w:cs="Arial"/>
                <w:color w:val="333333"/>
                <w:sz w:val="18"/>
                <w:szCs w:val="18"/>
              </w:rPr>
              <w:br w:type="textWrapping"/>
            </w:r>
            <w:r>
              <w:rPr>
                <w:rFonts w:hint="eastAsia" w:ascii="Arial" w:hAnsi="Arial" w:cs="Arial"/>
                <w:color w:val="333333"/>
                <w:sz w:val="18"/>
                <w:szCs w:val="18"/>
              </w:rPr>
              <w:t>　　（如未设定预算绩效目标，也可考核其他工作任务目标）</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①</w:t>
            </w:r>
            <w:r>
              <w:rPr>
                <w:rFonts w:hint="eastAsia" w:ascii="Arial" w:hAnsi="Arial" w:cs="Arial"/>
                <w:color w:val="333333"/>
                <w:sz w:val="18"/>
                <w:szCs w:val="18"/>
              </w:rPr>
              <w:t>项目是否有绩效目标；</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②</w:t>
            </w:r>
            <w:r>
              <w:rPr>
                <w:rFonts w:hint="eastAsia" w:ascii="Arial" w:hAnsi="Arial" w:cs="Arial"/>
                <w:color w:val="333333"/>
                <w:sz w:val="18"/>
                <w:szCs w:val="18"/>
              </w:rPr>
              <w:t>项目绩效目标与实际工作内容是否具有相关性；</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③</w:t>
            </w:r>
            <w:r>
              <w:rPr>
                <w:rFonts w:hint="eastAsia" w:ascii="Arial" w:hAnsi="Arial" w:cs="Arial"/>
                <w:color w:val="333333"/>
                <w:sz w:val="18"/>
                <w:szCs w:val="18"/>
              </w:rPr>
              <w:t>项目预期产出效益和效果是否符合正常的业绩水平；</w:t>
            </w:r>
          </w:p>
          <w:p>
            <w:pPr>
              <w:wordWrap w:val="0"/>
              <w:spacing w:line="360" w:lineRule="atLeast"/>
              <w:jc w:val="left"/>
              <w:rPr>
                <w:rFonts w:ascii="Arial" w:hAnsi="Arial" w:cs="Arial"/>
                <w:color w:val="333333"/>
                <w:sz w:val="18"/>
                <w:szCs w:val="18"/>
              </w:rPr>
            </w:pPr>
            <w:r>
              <w:rPr>
                <w:rFonts w:hint="eastAsia" w:ascii="宋体"/>
                <w:color w:val="333333"/>
                <w:sz w:val="18"/>
                <w:szCs w:val="18"/>
              </w:rPr>
              <w:t>④</w:t>
            </w:r>
            <w:r>
              <w:rPr>
                <w:rFonts w:hint="eastAsia" w:ascii="Arial" w:hAnsi="Arial" w:cs="Arial"/>
                <w:color w:val="333333"/>
                <w:sz w:val="18"/>
                <w:szCs w:val="18"/>
              </w:rPr>
              <w:t>是否与预算确定的项目投资额或资金量相匹配。</w:t>
            </w:r>
          </w:p>
        </w:tc>
      </w:tr>
      <w:tr>
        <w:tblPrEx>
          <w:tblCellMar>
            <w:top w:w="15" w:type="dxa"/>
            <w:left w:w="15" w:type="dxa"/>
            <w:bottom w:w="15" w:type="dxa"/>
            <w:right w:w="15" w:type="dxa"/>
          </w:tblCellMar>
        </w:tblPrEx>
        <w:trPr>
          <w:trHeight w:val="330" w:hRule="atLeast"/>
        </w:trPr>
        <w:tc>
          <w:tcPr>
            <w:tcW w:w="698" w:type="dxa"/>
            <w:vMerge w:val="restart"/>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vAlign w:val="cente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决策</w:t>
            </w:r>
          </w:p>
        </w:tc>
        <w:tc>
          <w:tcPr>
            <w:tcW w:w="712"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绩效目标</w:t>
            </w:r>
          </w:p>
        </w:tc>
        <w:tc>
          <w:tcPr>
            <w:tcW w:w="90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绩效指标</w:t>
            </w:r>
          </w:p>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明确性</w:t>
            </w:r>
          </w:p>
        </w:tc>
        <w:tc>
          <w:tcPr>
            <w:tcW w:w="234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依据绩效目标设定的绩效指标是否清晰、细化、可衡量等，用以反映和考核项目绩效目标的明细化情况。</w:t>
            </w:r>
          </w:p>
        </w:tc>
        <w:tc>
          <w:tcPr>
            <w:tcW w:w="4494"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评价要点：</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①</w:t>
            </w:r>
            <w:r>
              <w:rPr>
                <w:rFonts w:hint="eastAsia" w:ascii="Arial" w:hAnsi="Arial" w:cs="Arial"/>
                <w:color w:val="333333"/>
                <w:sz w:val="18"/>
                <w:szCs w:val="18"/>
              </w:rPr>
              <w:t>是否将项目绩效目标细化分解为具体的绩效指标；</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②</w:t>
            </w:r>
            <w:r>
              <w:rPr>
                <w:rFonts w:hint="eastAsia" w:ascii="Arial" w:hAnsi="Arial" w:cs="Arial"/>
                <w:color w:val="333333"/>
                <w:sz w:val="18"/>
                <w:szCs w:val="18"/>
              </w:rPr>
              <w:t>是否通过清晰、可衡量的指标值予以体现；</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③</w:t>
            </w:r>
            <w:r>
              <w:rPr>
                <w:rFonts w:hint="eastAsia" w:ascii="Arial" w:hAnsi="Arial" w:cs="Arial"/>
                <w:color w:val="333333"/>
                <w:sz w:val="18"/>
                <w:szCs w:val="18"/>
              </w:rPr>
              <w:t>是否与项目目标任务数或计划数相对应。</w:t>
            </w:r>
          </w:p>
        </w:tc>
      </w:tr>
      <w:tr>
        <w:tblPrEx>
          <w:tblCellMar>
            <w:top w:w="15" w:type="dxa"/>
            <w:left w:w="15" w:type="dxa"/>
            <w:bottom w:w="15" w:type="dxa"/>
            <w:right w:w="15" w:type="dxa"/>
          </w:tblCellMar>
        </w:tblPrEx>
        <w:trPr>
          <w:trHeight w:val="330" w:hRule="atLeast"/>
        </w:trPr>
        <w:tc>
          <w:tcPr>
            <w:tcW w:w="698" w:type="dxa"/>
            <w:vMerge w:val="continue"/>
            <w:tcBorders>
              <w:top w:val="single" w:color="E6E6E6" w:sz="6" w:space="0"/>
              <w:left w:val="single" w:color="E6E6E6" w:sz="6" w:space="0"/>
              <w:bottom w:val="single" w:color="E6E6E6" w:sz="6" w:space="0"/>
              <w:right w:val="single" w:color="E6E6E6" w:sz="6" w:space="0"/>
            </w:tcBorders>
            <w:shd w:val="clear" w:color="auto" w:fill="FFFFFF"/>
            <w:vAlign w:val="center"/>
          </w:tcPr>
          <w:p>
            <w:pPr>
              <w:jc w:val="left"/>
              <w:rPr>
                <w:rFonts w:ascii="Arial" w:hAnsi="Arial" w:cs="Arial"/>
                <w:color w:val="333333"/>
                <w:sz w:val="18"/>
                <w:szCs w:val="18"/>
              </w:rPr>
            </w:pPr>
          </w:p>
        </w:tc>
        <w:tc>
          <w:tcPr>
            <w:tcW w:w="712" w:type="dxa"/>
            <w:vMerge w:val="restart"/>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vAlign w:val="cente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资金投入</w:t>
            </w:r>
          </w:p>
        </w:tc>
        <w:tc>
          <w:tcPr>
            <w:tcW w:w="90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预算编制</w:t>
            </w:r>
          </w:p>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科学性</w:t>
            </w:r>
          </w:p>
        </w:tc>
        <w:tc>
          <w:tcPr>
            <w:tcW w:w="234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项目预算编制是否经过科学论证、有明确标准，资金额度与年度目标是否相适应，用以反映和考核项目预算编制的科学性、合理性情况。</w:t>
            </w:r>
          </w:p>
        </w:tc>
        <w:tc>
          <w:tcPr>
            <w:tcW w:w="4494"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评价要点：</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①</w:t>
            </w:r>
            <w:r>
              <w:rPr>
                <w:rFonts w:hint="eastAsia" w:ascii="Arial" w:hAnsi="Arial" w:cs="Arial"/>
                <w:color w:val="333333"/>
                <w:sz w:val="18"/>
                <w:szCs w:val="18"/>
              </w:rPr>
              <w:t>预算编制是否经过科学论证；</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②</w:t>
            </w:r>
            <w:r>
              <w:rPr>
                <w:rFonts w:hint="eastAsia" w:ascii="Arial" w:hAnsi="Arial" w:cs="Arial"/>
                <w:color w:val="333333"/>
                <w:sz w:val="18"/>
                <w:szCs w:val="18"/>
              </w:rPr>
              <w:t>预算内容与项目内容是否匹配；</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③</w:t>
            </w:r>
            <w:r>
              <w:rPr>
                <w:rFonts w:hint="eastAsia" w:ascii="Arial" w:hAnsi="Arial" w:cs="Arial"/>
                <w:color w:val="333333"/>
                <w:sz w:val="18"/>
                <w:szCs w:val="18"/>
              </w:rPr>
              <w:t>预算额度测算依据是否充分，是否按照标准编制；</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④</w:t>
            </w:r>
            <w:r>
              <w:rPr>
                <w:rFonts w:hint="eastAsia" w:ascii="Arial" w:hAnsi="Arial" w:cs="Arial"/>
                <w:color w:val="333333"/>
                <w:sz w:val="18"/>
                <w:szCs w:val="18"/>
              </w:rPr>
              <w:t>预算确定的项目投资额或资金量是否与工作任务相匹配。</w:t>
            </w:r>
          </w:p>
        </w:tc>
      </w:tr>
      <w:tr>
        <w:tblPrEx>
          <w:tblCellMar>
            <w:top w:w="15" w:type="dxa"/>
            <w:left w:w="15" w:type="dxa"/>
            <w:bottom w:w="15" w:type="dxa"/>
            <w:right w:w="15" w:type="dxa"/>
          </w:tblCellMar>
        </w:tblPrEx>
        <w:trPr>
          <w:trHeight w:val="330" w:hRule="atLeast"/>
        </w:trPr>
        <w:tc>
          <w:tcPr>
            <w:tcW w:w="698" w:type="dxa"/>
            <w:vMerge w:val="continue"/>
            <w:tcBorders>
              <w:top w:val="single" w:color="E6E6E6" w:sz="6" w:space="0"/>
              <w:left w:val="single" w:color="E6E6E6" w:sz="6" w:space="0"/>
              <w:bottom w:val="single" w:color="E6E6E6" w:sz="6" w:space="0"/>
              <w:right w:val="single" w:color="E6E6E6" w:sz="6" w:space="0"/>
            </w:tcBorders>
            <w:shd w:val="clear" w:color="auto" w:fill="FFFFFF"/>
            <w:vAlign w:val="center"/>
          </w:tcPr>
          <w:p>
            <w:pPr>
              <w:jc w:val="left"/>
              <w:rPr>
                <w:rFonts w:ascii="Arial" w:hAnsi="Arial" w:cs="Arial"/>
                <w:color w:val="333333"/>
                <w:sz w:val="18"/>
                <w:szCs w:val="18"/>
              </w:rPr>
            </w:pPr>
          </w:p>
        </w:tc>
        <w:tc>
          <w:tcPr>
            <w:tcW w:w="712" w:type="dxa"/>
            <w:vMerge w:val="continue"/>
            <w:tcBorders>
              <w:top w:val="single" w:color="E6E6E6" w:sz="6" w:space="0"/>
              <w:left w:val="single" w:color="E6E6E6" w:sz="6" w:space="0"/>
              <w:bottom w:val="single" w:color="E6E6E6" w:sz="6" w:space="0"/>
              <w:right w:val="single" w:color="E6E6E6" w:sz="6" w:space="0"/>
            </w:tcBorders>
            <w:shd w:val="clear" w:color="auto" w:fill="FFFFFF"/>
            <w:vAlign w:val="center"/>
          </w:tcPr>
          <w:p>
            <w:pPr>
              <w:jc w:val="left"/>
              <w:rPr>
                <w:rFonts w:ascii="Arial" w:hAnsi="Arial" w:cs="Arial"/>
                <w:color w:val="333333"/>
                <w:sz w:val="18"/>
                <w:szCs w:val="18"/>
              </w:rPr>
            </w:pPr>
          </w:p>
        </w:tc>
        <w:tc>
          <w:tcPr>
            <w:tcW w:w="90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资金分配</w:t>
            </w:r>
          </w:p>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合理性</w:t>
            </w:r>
          </w:p>
        </w:tc>
        <w:tc>
          <w:tcPr>
            <w:tcW w:w="234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项目预算资金分配是否有测算依据，与补助单位或地方实际是否相适应，用以反映和考核项目预算资金分配的科学性、合理性情况。</w:t>
            </w:r>
          </w:p>
        </w:tc>
        <w:tc>
          <w:tcPr>
            <w:tcW w:w="4494"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评价要点：</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①</w:t>
            </w:r>
            <w:r>
              <w:rPr>
                <w:rFonts w:hint="eastAsia" w:ascii="Arial" w:hAnsi="Arial" w:cs="Arial"/>
                <w:color w:val="333333"/>
                <w:sz w:val="18"/>
                <w:szCs w:val="18"/>
              </w:rPr>
              <w:t>预算资金分配依据是否充分；</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②</w:t>
            </w:r>
            <w:r>
              <w:rPr>
                <w:rFonts w:hint="eastAsia" w:ascii="Arial" w:hAnsi="Arial" w:cs="Arial"/>
                <w:color w:val="333333"/>
                <w:sz w:val="18"/>
                <w:szCs w:val="18"/>
              </w:rPr>
              <w:t>资金分配额度是否合理，与项目单位或地方实际是否相适应。</w:t>
            </w:r>
          </w:p>
        </w:tc>
      </w:tr>
      <w:tr>
        <w:tblPrEx>
          <w:tblCellMar>
            <w:top w:w="15" w:type="dxa"/>
            <w:left w:w="15" w:type="dxa"/>
            <w:bottom w:w="15" w:type="dxa"/>
            <w:right w:w="15" w:type="dxa"/>
          </w:tblCellMar>
        </w:tblPrEx>
        <w:trPr>
          <w:trHeight w:val="330" w:hRule="atLeast"/>
        </w:trPr>
        <w:tc>
          <w:tcPr>
            <w:tcW w:w="698" w:type="dxa"/>
            <w:vMerge w:val="restart"/>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vAlign w:val="cente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过程</w:t>
            </w:r>
          </w:p>
        </w:tc>
        <w:tc>
          <w:tcPr>
            <w:tcW w:w="712" w:type="dxa"/>
            <w:vMerge w:val="restart"/>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vAlign w:val="cente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资金管理</w:t>
            </w:r>
          </w:p>
        </w:tc>
        <w:tc>
          <w:tcPr>
            <w:tcW w:w="90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资金到位率</w:t>
            </w:r>
          </w:p>
        </w:tc>
        <w:tc>
          <w:tcPr>
            <w:tcW w:w="234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实际到位资金与预算资金的比率，用以反映和考核资金落实情况对项目实施的总体保障程度。</w:t>
            </w:r>
          </w:p>
        </w:tc>
        <w:tc>
          <w:tcPr>
            <w:tcW w:w="4494"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资金到位率</w:t>
            </w:r>
            <w:r>
              <w:rPr>
                <w:rFonts w:ascii="Arial" w:hAnsi="Arial" w:cs="Arial"/>
                <w:color w:val="333333"/>
                <w:sz w:val="18"/>
                <w:szCs w:val="18"/>
              </w:rPr>
              <w:t>=</w:t>
            </w:r>
            <w:r>
              <w:rPr>
                <w:rFonts w:hint="eastAsia" w:ascii="Arial" w:hAnsi="Arial" w:cs="Arial"/>
                <w:color w:val="333333"/>
                <w:sz w:val="18"/>
                <w:szCs w:val="18"/>
              </w:rPr>
              <w:t>（实际到位资金</w:t>
            </w:r>
            <w:r>
              <w:rPr>
                <w:rFonts w:ascii="Arial" w:hAnsi="Arial" w:cs="Arial"/>
                <w:color w:val="333333"/>
                <w:sz w:val="18"/>
                <w:szCs w:val="18"/>
              </w:rPr>
              <w:t>/</w:t>
            </w:r>
            <w:r>
              <w:rPr>
                <w:rFonts w:hint="eastAsia" w:ascii="Arial" w:hAnsi="Arial" w:cs="Arial"/>
                <w:color w:val="333333"/>
                <w:sz w:val="18"/>
                <w:szCs w:val="18"/>
              </w:rPr>
              <w:t>预算资金）</w:t>
            </w:r>
            <w:r>
              <w:rPr>
                <w:rFonts w:ascii="Arial" w:hAnsi="Arial" w:cs="Arial"/>
                <w:color w:val="333333"/>
                <w:sz w:val="18"/>
                <w:szCs w:val="18"/>
              </w:rPr>
              <w:t>×100%</w:t>
            </w:r>
            <w:r>
              <w:rPr>
                <w:rFonts w:hint="eastAsia" w:ascii="Arial" w:hAnsi="Arial" w:cs="Arial"/>
                <w:color w:val="333333"/>
                <w:sz w:val="18"/>
                <w:szCs w:val="18"/>
              </w:rPr>
              <w:t>。</w:t>
            </w:r>
          </w:p>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实际到位资金：一定时期（本年度或项目期）内落实到具体项目的资金。</w:t>
            </w:r>
          </w:p>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预算资金：一定时期（本年度或项目期）内预算安排到具体项目的资金。</w:t>
            </w:r>
          </w:p>
        </w:tc>
      </w:tr>
      <w:tr>
        <w:tblPrEx>
          <w:tblCellMar>
            <w:top w:w="15" w:type="dxa"/>
            <w:left w:w="15" w:type="dxa"/>
            <w:bottom w:w="15" w:type="dxa"/>
            <w:right w:w="15" w:type="dxa"/>
          </w:tblCellMar>
        </w:tblPrEx>
        <w:trPr>
          <w:trHeight w:val="330" w:hRule="atLeast"/>
        </w:trPr>
        <w:tc>
          <w:tcPr>
            <w:tcW w:w="698" w:type="dxa"/>
            <w:vMerge w:val="continue"/>
            <w:tcBorders>
              <w:top w:val="single" w:color="E6E6E6" w:sz="6" w:space="0"/>
              <w:left w:val="single" w:color="E6E6E6" w:sz="6" w:space="0"/>
              <w:bottom w:val="single" w:color="E6E6E6" w:sz="6" w:space="0"/>
              <w:right w:val="single" w:color="E6E6E6" w:sz="6" w:space="0"/>
            </w:tcBorders>
            <w:shd w:val="clear" w:color="auto" w:fill="FFFFFF"/>
            <w:vAlign w:val="center"/>
          </w:tcPr>
          <w:p>
            <w:pPr>
              <w:jc w:val="left"/>
              <w:rPr>
                <w:rFonts w:ascii="Arial" w:hAnsi="Arial" w:cs="Arial"/>
                <w:color w:val="333333"/>
                <w:sz w:val="18"/>
                <w:szCs w:val="18"/>
              </w:rPr>
            </w:pPr>
          </w:p>
        </w:tc>
        <w:tc>
          <w:tcPr>
            <w:tcW w:w="712" w:type="dxa"/>
            <w:vMerge w:val="continue"/>
            <w:tcBorders>
              <w:top w:val="single" w:color="E6E6E6" w:sz="6" w:space="0"/>
              <w:left w:val="single" w:color="E6E6E6" w:sz="6" w:space="0"/>
              <w:bottom w:val="single" w:color="E6E6E6" w:sz="6" w:space="0"/>
              <w:right w:val="single" w:color="E6E6E6" w:sz="6" w:space="0"/>
            </w:tcBorders>
            <w:shd w:val="clear" w:color="auto" w:fill="FFFFFF"/>
            <w:vAlign w:val="center"/>
          </w:tcPr>
          <w:p>
            <w:pPr>
              <w:jc w:val="left"/>
              <w:rPr>
                <w:rFonts w:ascii="Arial" w:hAnsi="Arial" w:cs="Arial"/>
                <w:color w:val="333333"/>
                <w:sz w:val="18"/>
                <w:szCs w:val="18"/>
              </w:rPr>
            </w:pPr>
          </w:p>
        </w:tc>
        <w:tc>
          <w:tcPr>
            <w:tcW w:w="90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预算执行率</w:t>
            </w:r>
          </w:p>
        </w:tc>
        <w:tc>
          <w:tcPr>
            <w:tcW w:w="234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项目预算资金是否按照计划执行，用以反映或考核项目预算执行情况。</w:t>
            </w:r>
          </w:p>
        </w:tc>
        <w:tc>
          <w:tcPr>
            <w:tcW w:w="4494"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预算执行率</w:t>
            </w:r>
            <w:r>
              <w:rPr>
                <w:rFonts w:ascii="Arial" w:hAnsi="Arial" w:cs="Arial"/>
                <w:color w:val="333333"/>
                <w:sz w:val="18"/>
                <w:szCs w:val="18"/>
              </w:rPr>
              <w:t>=</w:t>
            </w:r>
            <w:r>
              <w:rPr>
                <w:rFonts w:hint="eastAsia" w:ascii="Arial" w:hAnsi="Arial" w:cs="Arial"/>
                <w:color w:val="333333"/>
                <w:sz w:val="18"/>
                <w:szCs w:val="18"/>
              </w:rPr>
              <w:t>（实际支出资金</w:t>
            </w:r>
            <w:r>
              <w:rPr>
                <w:rFonts w:ascii="Arial" w:hAnsi="Arial" w:cs="Arial"/>
                <w:color w:val="333333"/>
                <w:sz w:val="18"/>
                <w:szCs w:val="18"/>
              </w:rPr>
              <w:t>/</w:t>
            </w:r>
            <w:r>
              <w:rPr>
                <w:rFonts w:hint="eastAsia" w:ascii="Arial" w:hAnsi="Arial" w:cs="Arial"/>
                <w:color w:val="333333"/>
                <w:sz w:val="18"/>
                <w:szCs w:val="18"/>
              </w:rPr>
              <w:t>实际到位资金）</w:t>
            </w:r>
            <w:r>
              <w:rPr>
                <w:rFonts w:ascii="Arial" w:hAnsi="Arial" w:cs="Arial"/>
                <w:color w:val="333333"/>
                <w:sz w:val="18"/>
                <w:szCs w:val="18"/>
              </w:rPr>
              <w:t>×100%</w:t>
            </w:r>
            <w:r>
              <w:rPr>
                <w:rFonts w:hint="eastAsia" w:ascii="Arial" w:hAnsi="Arial" w:cs="Arial"/>
                <w:color w:val="333333"/>
                <w:sz w:val="18"/>
                <w:szCs w:val="18"/>
              </w:rPr>
              <w:t>。</w:t>
            </w:r>
            <w:r>
              <w:rPr>
                <w:rFonts w:ascii="Arial" w:hAnsi="Arial" w:cs="Arial"/>
                <w:color w:val="333333"/>
                <w:sz w:val="18"/>
                <w:szCs w:val="18"/>
              </w:rPr>
              <w:br w:type="textWrapping"/>
            </w:r>
            <w:r>
              <w:rPr>
                <w:rFonts w:hint="eastAsia" w:ascii="Arial" w:hAnsi="Arial" w:cs="Arial"/>
                <w:color w:val="333333"/>
                <w:sz w:val="18"/>
                <w:szCs w:val="18"/>
              </w:rPr>
              <w:t>　　实际支出资金：一定时期（本年度或项目期）内项目实际拨付的资金。</w:t>
            </w:r>
          </w:p>
        </w:tc>
      </w:tr>
      <w:tr>
        <w:tblPrEx>
          <w:tblCellMar>
            <w:top w:w="15" w:type="dxa"/>
            <w:left w:w="15" w:type="dxa"/>
            <w:bottom w:w="15" w:type="dxa"/>
            <w:right w:w="15" w:type="dxa"/>
          </w:tblCellMar>
        </w:tblPrEx>
        <w:trPr>
          <w:trHeight w:val="330" w:hRule="atLeast"/>
        </w:trPr>
        <w:tc>
          <w:tcPr>
            <w:tcW w:w="698" w:type="dxa"/>
            <w:vMerge w:val="restart"/>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vAlign w:val="cente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过程</w:t>
            </w:r>
          </w:p>
        </w:tc>
        <w:tc>
          <w:tcPr>
            <w:tcW w:w="712"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资金管理</w:t>
            </w:r>
          </w:p>
        </w:tc>
        <w:tc>
          <w:tcPr>
            <w:tcW w:w="90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资金使用</w:t>
            </w:r>
          </w:p>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合规性</w:t>
            </w:r>
          </w:p>
        </w:tc>
        <w:tc>
          <w:tcPr>
            <w:tcW w:w="234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项目资金使用是否符合相关的财务管理制度规定，用以反映和考核项目资金的规范运行情况。</w:t>
            </w:r>
          </w:p>
        </w:tc>
        <w:tc>
          <w:tcPr>
            <w:tcW w:w="4494"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评价要点：</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①</w:t>
            </w:r>
            <w:r>
              <w:rPr>
                <w:rFonts w:hint="eastAsia" w:ascii="Arial" w:hAnsi="Arial" w:cs="Arial"/>
                <w:color w:val="333333"/>
                <w:sz w:val="18"/>
                <w:szCs w:val="18"/>
              </w:rPr>
              <w:t>是否符合国家财经法规和财务管理制度以及有关专项资金管理办法的规定；</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②</w:t>
            </w:r>
            <w:r>
              <w:rPr>
                <w:rFonts w:hint="eastAsia" w:ascii="Arial" w:hAnsi="Arial" w:cs="Arial"/>
                <w:color w:val="333333"/>
                <w:sz w:val="18"/>
                <w:szCs w:val="18"/>
              </w:rPr>
              <w:t>资金的拨付是否有完整的审批程序和手续；</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③</w:t>
            </w:r>
            <w:r>
              <w:rPr>
                <w:rFonts w:hint="eastAsia" w:ascii="Arial" w:hAnsi="Arial" w:cs="Arial"/>
                <w:color w:val="333333"/>
                <w:sz w:val="18"/>
                <w:szCs w:val="18"/>
              </w:rPr>
              <w:t>是否符合项目预算批复或合同规定的用途；</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④</w:t>
            </w:r>
            <w:r>
              <w:rPr>
                <w:rFonts w:hint="eastAsia" w:ascii="Arial" w:hAnsi="Arial" w:cs="Arial"/>
                <w:color w:val="333333"/>
                <w:sz w:val="18"/>
                <w:szCs w:val="18"/>
              </w:rPr>
              <w:t>是否存在截留、挤占、挪用、虚列支出等情况。</w:t>
            </w:r>
          </w:p>
        </w:tc>
      </w:tr>
      <w:tr>
        <w:tblPrEx>
          <w:tblCellMar>
            <w:top w:w="15" w:type="dxa"/>
            <w:left w:w="15" w:type="dxa"/>
            <w:bottom w:w="15" w:type="dxa"/>
            <w:right w:w="15" w:type="dxa"/>
          </w:tblCellMar>
        </w:tblPrEx>
        <w:trPr>
          <w:trHeight w:val="330" w:hRule="atLeast"/>
        </w:trPr>
        <w:tc>
          <w:tcPr>
            <w:tcW w:w="698" w:type="dxa"/>
            <w:vMerge w:val="continue"/>
            <w:tcBorders>
              <w:top w:val="single" w:color="E6E6E6" w:sz="6" w:space="0"/>
              <w:left w:val="single" w:color="E6E6E6" w:sz="6" w:space="0"/>
              <w:bottom w:val="single" w:color="E6E6E6" w:sz="6" w:space="0"/>
              <w:right w:val="single" w:color="E6E6E6" w:sz="6" w:space="0"/>
            </w:tcBorders>
            <w:shd w:val="clear" w:color="auto" w:fill="FFFFFF"/>
            <w:vAlign w:val="center"/>
          </w:tcPr>
          <w:p>
            <w:pPr>
              <w:jc w:val="left"/>
              <w:rPr>
                <w:rFonts w:ascii="Arial" w:hAnsi="Arial" w:cs="Arial"/>
                <w:color w:val="333333"/>
                <w:sz w:val="18"/>
                <w:szCs w:val="18"/>
              </w:rPr>
            </w:pPr>
          </w:p>
        </w:tc>
        <w:tc>
          <w:tcPr>
            <w:tcW w:w="712" w:type="dxa"/>
            <w:vMerge w:val="restart"/>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vAlign w:val="cente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组织实施</w:t>
            </w:r>
          </w:p>
        </w:tc>
        <w:tc>
          <w:tcPr>
            <w:tcW w:w="90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管理制度</w:t>
            </w:r>
          </w:p>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健全性</w:t>
            </w:r>
          </w:p>
        </w:tc>
        <w:tc>
          <w:tcPr>
            <w:tcW w:w="234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项目实施单位的财务和业务管理制度是否健全，用以反映和考核财务和业务管理制度对项目顺利实施的保障情况。</w:t>
            </w:r>
          </w:p>
        </w:tc>
        <w:tc>
          <w:tcPr>
            <w:tcW w:w="4494"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评价要点：</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①</w:t>
            </w:r>
            <w:r>
              <w:rPr>
                <w:rFonts w:hint="eastAsia" w:ascii="Arial" w:hAnsi="Arial" w:cs="Arial"/>
                <w:color w:val="333333"/>
                <w:sz w:val="18"/>
                <w:szCs w:val="18"/>
              </w:rPr>
              <w:t>是否已制定或具有相应的财务和业务管理制度；</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②</w:t>
            </w:r>
            <w:r>
              <w:rPr>
                <w:rFonts w:hint="eastAsia" w:ascii="Arial" w:hAnsi="Arial" w:cs="Arial"/>
                <w:color w:val="333333"/>
                <w:sz w:val="18"/>
                <w:szCs w:val="18"/>
              </w:rPr>
              <w:t>财务和业务管理制度是否合法、合规、完整。</w:t>
            </w:r>
          </w:p>
        </w:tc>
      </w:tr>
      <w:tr>
        <w:tblPrEx>
          <w:tblCellMar>
            <w:top w:w="15" w:type="dxa"/>
            <w:left w:w="15" w:type="dxa"/>
            <w:bottom w:w="15" w:type="dxa"/>
            <w:right w:w="15" w:type="dxa"/>
          </w:tblCellMar>
        </w:tblPrEx>
        <w:trPr>
          <w:trHeight w:val="330" w:hRule="atLeast"/>
        </w:trPr>
        <w:tc>
          <w:tcPr>
            <w:tcW w:w="698" w:type="dxa"/>
            <w:vMerge w:val="continue"/>
            <w:tcBorders>
              <w:top w:val="single" w:color="E6E6E6" w:sz="6" w:space="0"/>
              <w:left w:val="single" w:color="E6E6E6" w:sz="6" w:space="0"/>
              <w:bottom w:val="single" w:color="E6E6E6" w:sz="6" w:space="0"/>
              <w:right w:val="single" w:color="E6E6E6" w:sz="6" w:space="0"/>
            </w:tcBorders>
            <w:shd w:val="clear" w:color="auto" w:fill="FFFFFF"/>
            <w:vAlign w:val="center"/>
          </w:tcPr>
          <w:p>
            <w:pPr>
              <w:jc w:val="left"/>
              <w:rPr>
                <w:rFonts w:ascii="Arial" w:hAnsi="Arial" w:cs="Arial"/>
                <w:color w:val="333333"/>
                <w:sz w:val="18"/>
                <w:szCs w:val="18"/>
              </w:rPr>
            </w:pPr>
          </w:p>
        </w:tc>
        <w:tc>
          <w:tcPr>
            <w:tcW w:w="712" w:type="dxa"/>
            <w:vMerge w:val="continue"/>
            <w:tcBorders>
              <w:top w:val="single" w:color="E6E6E6" w:sz="6" w:space="0"/>
              <w:left w:val="single" w:color="E6E6E6" w:sz="6" w:space="0"/>
              <w:bottom w:val="single" w:color="E6E6E6" w:sz="6" w:space="0"/>
              <w:right w:val="single" w:color="E6E6E6" w:sz="6" w:space="0"/>
            </w:tcBorders>
            <w:shd w:val="clear" w:color="auto" w:fill="FFFFFF"/>
            <w:vAlign w:val="center"/>
          </w:tcPr>
          <w:p>
            <w:pPr>
              <w:jc w:val="left"/>
              <w:rPr>
                <w:rFonts w:ascii="Arial" w:hAnsi="Arial" w:cs="Arial"/>
                <w:color w:val="333333"/>
                <w:sz w:val="18"/>
                <w:szCs w:val="18"/>
              </w:rPr>
            </w:pPr>
          </w:p>
        </w:tc>
        <w:tc>
          <w:tcPr>
            <w:tcW w:w="90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制度执行</w:t>
            </w:r>
          </w:p>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有效性</w:t>
            </w:r>
          </w:p>
        </w:tc>
        <w:tc>
          <w:tcPr>
            <w:tcW w:w="234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项目实施是否符合相关管理规定，用以反映和考核相关管理制度的有效执行情况。</w:t>
            </w:r>
          </w:p>
        </w:tc>
        <w:tc>
          <w:tcPr>
            <w:tcW w:w="4494"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评价要点：</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①</w:t>
            </w:r>
            <w:r>
              <w:rPr>
                <w:rFonts w:hint="eastAsia" w:ascii="Arial" w:hAnsi="Arial" w:cs="Arial"/>
                <w:color w:val="333333"/>
                <w:sz w:val="18"/>
                <w:szCs w:val="18"/>
              </w:rPr>
              <w:t>是否遵守相关法律法规和相关管理规定；</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②</w:t>
            </w:r>
            <w:r>
              <w:rPr>
                <w:rFonts w:hint="eastAsia" w:ascii="Arial" w:hAnsi="Arial" w:cs="Arial"/>
                <w:color w:val="333333"/>
                <w:sz w:val="18"/>
                <w:szCs w:val="18"/>
              </w:rPr>
              <w:t>项目调整及支出调整手续是否完备；</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③</w:t>
            </w:r>
            <w:r>
              <w:rPr>
                <w:rFonts w:hint="eastAsia" w:ascii="Arial" w:hAnsi="Arial" w:cs="Arial"/>
                <w:color w:val="333333"/>
                <w:sz w:val="18"/>
                <w:szCs w:val="18"/>
              </w:rPr>
              <w:t>项目合同书、验收报告、技术鉴定等资料是否齐全并及时归档；</w:t>
            </w:r>
            <w:r>
              <w:rPr>
                <w:rFonts w:ascii="Arial" w:hAnsi="Arial" w:cs="Arial"/>
                <w:color w:val="333333"/>
                <w:sz w:val="18"/>
                <w:szCs w:val="18"/>
              </w:rPr>
              <w:br w:type="textWrapping"/>
            </w:r>
            <w:r>
              <w:rPr>
                <w:rFonts w:hint="eastAsia" w:ascii="Arial" w:hAnsi="Arial" w:cs="Arial"/>
                <w:color w:val="333333"/>
                <w:sz w:val="18"/>
                <w:szCs w:val="18"/>
              </w:rPr>
              <w:t>　　</w:t>
            </w:r>
            <w:r>
              <w:rPr>
                <w:rFonts w:hint="eastAsia" w:ascii="宋体"/>
                <w:color w:val="333333"/>
                <w:sz w:val="18"/>
                <w:szCs w:val="18"/>
              </w:rPr>
              <w:t>④</w:t>
            </w:r>
            <w:r>
              <w:rPr>
                <w:rFonts w:hint="eastAsia" w:ascii="Arial" w:hAnsi="Arial" w:cs="Arial"/>
                <w:color w:val="333333"/>
                <w:sz w:val="18"/>
                <w:szCs w:val="18"/>
              </w:rPr>
              <w:t>项目实施的人员条件、场地设备、信息支撑等是否落实到位。</w:t>
            </w:r>
          </w:p>
        </w:tc>
      </w:tr>
      <w:tr>
        <w:tblPrEx>
          <w:tblCellMar>
            <w:top w:w="15" w:type="dxa"/>
            <w:left w:w="15" w:type="dxa"/>
            <w:bottom w:w="15" w:type="dxa"/>
            <w:right w:w="15" w:type="dxa"/>
          </w:tblCellMar>
        </w:tblPrEx>
        <w:trPr>
          <w:trHeight w:val="330" w:hRule="atLeast"/>
        </w:trPr>
        <w:tc>
          <w:tcPr>
            <w:tcW w:w="698"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产出</w:t>
            </w:r>
          </w:p>
        </w:tc>
        <w:tc>
          <w:tcPr>
            <w:tcW w:w="712"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产出数量</w:t>
            </w:r>
          </w:p>
        </w:tc>
        <w:tc>
          <w:tcPr>
            <w:tcW w:w="90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实际完成率</w:t>
            </w:r>
          </w:p>
        </w:tc>
        <w:tc>
          <w:tcPr>
            <w:tcW w:w="234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项目实施的实际产出数与计划产出数的比率，用以反映和考核项目产出数量目标的实现程度。</w:t>
            </w:r>
          </w:p>
        </w:tc>
        <w:tc>
          <w:tcPr>
            <w:tcW w:w="4494"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实际完成率</w:t>
            </w:r>
            <w:r>
              <w:rPr>
                <w:rFonts w:ascii="Arial" w:hAnsi="Arial" w:cs="Arial"/>
                <w:color w:val="333333"/>
                <w:sz w:val="18"/>
                <w:szCs w:val="18"/>
              </w:rPr>
              <w:t>=</w:t>
            </w:r>
            <w:r>
              <w:rPr>
                <w:rFonts w:hint="eastAsia" w:ascii="Arial" w:hAnsi="Arial" w:cs="Arial"/>
                <w:color w:val="333333"/>
                <w:sz w:val="18"/>
                <w:szCs w:val="18"/>
              </w:rPr>
              <w:t>（实际产出数</w:t>
            </w:r>
            <w:r>
              <w:rPr>
                <w:rFonts w:ascii="Arial" w:hAnsi="Arial" w:cs="Arial"/>
                <w:color w:val="333333"/>
                <w:sz w:val="18"/>
                <w:szCs w:val="18"/>
              </w:rPr>
              <w:t>/</w:t>
            </w:r>
            <w:r>
              <w:rPr>
                <w:rFonts w:hint="eastAsia" w:ascii="Arial" w:hAnsi="Arial" w:cs="Arial"/>
                <w:color w:val="333333"/>
                <w:sz w:val="18"/>
                <w:szCs w:val="18"/>
              </w:rPr>
              <w:t>计划产出数）</w:t>
            </w:r>
            <w:r>
              <w:rPr>
                <w:rFonts w:ascii="Arial" w:hAnsi="Arial" w:cs="Arial"/>
                <w:color w:val="333333"/>
                <w:sz w:val="18"/>
                <w:szCs w:val="18"/>
              </w:rPr>
              <w:t>×100%</w:t>
            </w:r>
            <w:r>
              <w:rPr>
                <w:rFonts w:hint="eastAsia" w:ascii="Arial" w:hAnsi="Arial" w:cs="Arial"/>
                <w:color w:val="333333"/>
                <w:sz w:val="18"/>
                <w:szCs w:val="18"/>
              </w:rPr>
              <w:t>。</w:t>
            </w:r>
            <w:r>
              <w:rPr>
                <w:rFonts w:ascii="Arial" w:hAnsi="Arial" w:cs="Arial"/>
                <w:color w:val="333333"/>
                <w:sz w:val="18"/>
                <w:szCs w:val="18"/>
              </w:rPr>
              <w:br w:type="textWrapping"/>
            </w:r>
            <w:r>
              <w:rPr>
                <w:rFonts w:hint="eastAsia" w:ascii="Arial" w:hAnsi="Arial" w:cs="Arial"/>
                <w:color w:val="333333"/>
                <w:sz w:val="18"/>
                <w:szCs w:val="18"/>
              </w:rPr>
              <w:t>　　实际产出数：一定时期（本年度或项目期）内项目实际产出的产品或提供的服务数量。</w:t>
            </w:r>
            <w:r>
              <w:rPr>
                <w:rFonts w:ascii="Arial" w:hAnsi="Arial" w:cs="Arial"/>
                <w:color w:val="333333"/>
                <w:sz w:val="18"/>
                <w:szCs w:val="18"/>
              </w:rPr>
              <w:br w:type="textWrapping"/>
            </w:r>
            <w:r>
              <w:rPr>
                <w:rFonts w:hint="eastAsia" w:ascii="Arial" w:hAnsi="Arial" w:cs="Arial"/>
                <w:color w:val="333333"/>
                <w:sz w:val="18"/>
                <w:szCs w:val="18"/>
              </w:rPr>
              <w:t>　　计划产出数：项目绩效目标确定的在一定时期（本年度或项目期）内计划产出的产品或提供的服务数量。</w:t>
            </w:r>
          </w:p>
        </w:tc>
      </w:tr>
      <w:tr>
        <w:tblPrEx>
          <w:tblCellMar>
            <w:top w:w="15" w:type="dxa"/>
            <w:left w:w="15" w:type="dxa"/>
            <w:bottom w:w="15" w:type="dxa"/>
            <w:right w:w="15" w:type="dxa"/>
          </w:tblCellMar>
        </w:tblPrEx>
        <w:trPr>
          <w:trHeight w:val="330" w:hRule="atLeast"/>
        </w:trPr>
        <w:tc>
          <w:tcPr>
            <w:tcW w:w="698" w:type="dxa"/>
            <w:vMerge w:val="restart"/>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vAlign w:val="cente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产出</w:t>
            </w:r>
          </w:p>
        </w:tc>
        <w:tc>
          <w:tcPr>
            <w:tcW w:w="712"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产出质量</w:t>
            </w:r>
          </w:p>
        </w:tc>
        <w:tc>
          <w:tcPr>
            <w:tcW w:w="90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质量达标率</w:t>
            </w:r>
          </w:p>
        </w:tc>
        <w:tc>
          <w:tcPr>
            <w:tcW w:w="234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项目完成的质量达标产出数与实际产出数的比率，用以反映和考核项目产出质量目标的实现程度。</w:t>
            </w:r>
          </w:p>
        </w:tc>
        <w:tc>
          <w:tcPr>
            <w:tcW w:w="4494"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质量达标率</w:t>
            </w:r>
            <w:r>
              <w:rPr>
                <w:rFonts w:ascii="Arial" w:hAnsi="Arial" w:cs="Arial"/>
                <w:color w:val="333333"/>
                <w:sz w:val="18"/>
                <w:szCs w:val="18"/>
              </w:rPr>
              <w:t>=</w:t>
            </w:r>
            <w:r>
              <w:rPr>
                <w:rFonts w:hint="eastAsia" w:ascii="Arial" w:hAnsi="Arial" w:cs="Arial"/>
                <w:color w:val="333333"/>
                <w:sz w:val="18"/>
                <w:szCs w:val="18"/>
              </w:rPr>
              <w:t>（质量达标产出数</w:t>
            </w:r>
            <w:r>
              <w:rPr>
                <w:rFonts w:ascii="Arial" w:hAnsi="Arial" w:cs="Arial"/>
                <w:color w:val="333333"/>
                <w:sz w:val="18"/>
                <w:szCs w:val="18"/>
              </w:rPr>
              <w:t>/</w:t>
            </w:r>
            <w:r>
              <w:rPr>
                <w:rFonts w:hint="eastAsia" w:ascii="Arial" w:hAnsi="Arial" w:cs="Arial"/>
                <w:color w:val="333333"/>
                <w:sz w:val="18"/>
                <w:szCs w:val="18"/>
              </w:rPr>
              <w:t>实际产出数）</w:t>
            </w:r>
            <w:r>
              <w:rPr>
                <w:rFonts w:ascii="Arial" w:hAnsi="Arial" w:cs="Arial"/>
                <w:color w:val="333333"/>
                <w:sz w:val="18"/>
                <w:szCs w:val="18"/>
              </w:rPr>
              <w:t>×100%</w:t>
            </w:r>
            <w:r>
              <w:rPr>
                <w:rFonts w:hint="eastAsia" w:ascii="Arial" w:hAnsi="Arial" w:cs="Arial"/>
                <w:color w:val="333333"/>
                <w:sz w:val="18"/>
                <w:szCs w:val="18"/>
              </w:rPr>
              <w:t>。</w:t>
            </w:r>
          </w:p>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CellMar>
            <w:top w:w="15" w:type="dxa"/>
            <w:left w:w="15" w:type="dxa"/>
            <w:bottom w:w="15" w:type="dxa"/>
            <w:right w:w="15" w:type="dxa"/>
          </w:tblCellMar>
        </w:tblPrEx>
        <w:trPr>
          <w:trHeight w:val="330" w:hRule="atLeast"/>
        </w:trPr>
        <w:tc>
          <w:tcPr>
            <w:tcW w:w="698" w:type="dxa"/>
            <w:vMerge w:val="continue"/>
            <w:tcBorders>
              <w:top w:val="single" w:color="E6E6E6" w:sz="6" w:space="0"/>
              <w:left w:val="single" w:color="E6E6E6" w:sz="6" w:space="0"/>
              <w:bottom w:val="single" w:color="E6E6E6" w:sz="6" w:space="0"/>
              <w:right w:val="single" w:color="E6E6E6" w:sz="6" w:space="0"/>
            </w:tcBorders>
            <w:shd w:val="clear" w:color="auto" w:fill="FFFFFF"/>
            <w:vAlign w:val="center"/>
          </w:tcPr>
          <w:p>
            <w:pPr>
              <w:jc w:val="left"/>
              <w:rPr>
                <w:rFonts w:ascii="Arial" w:hAnsi="Arial" w:cs="Arial"/>
                <w:color w:val="333333"/>
                <w:sz w:val="18"/>
                <w:szCs w:val="18"/>
              </w:rPr>
            </w:pPr>
          </w:p>
        </w:tc>
        <w:tc>
          <w:tcPr>
            <w:tcW w:w="712"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产出时效</w:t>
            </w:r>
          </w:p>
        </w:tc>
        <w:tc>
          <w:tcPr>
            <w:tcW w:w="90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完成及时性</w:t>
            </w:r>
          </w:p>
        </w:tc>
        <w:tc>
          <w:tcPr>
            <w:tcW w:w="234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项目实际完成时间与计划完成时间的比较，用以反映和考核项目产出时效目标的实现程度。</w:t>
            </w:r>
          </w:p>
        </w:tc>
        <w:tc>
          <w:tcPr>
            <w:tcW w:w="4494"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实际完成时间：项目实施单位完成该项目实际所耗用的时间。</w:t>
            </w:r>
            <w:r>
              <w:rPr>
                <w:rFonts w:ascii="Arial" w:hAnsi="Arial" w:cs="Arial"/>
                <w:color w:val="333333"/>
                <w:sz w:val="18"/>
                <w:szCs w:val="18"/>
              </w:rPr>
              <w:br w:type="textWrapping"/>
            </w:r>
            <w:r>
              <w:rPr>
                <w:rFonts w:hint="eastAsia" w:ascii="Arial" w:hAnsi="Arial" w:cs="Arial"/>
                <w:color w:val="333333"/>
                <w:sz w:val="18"/>
                <w:szCs w:val="18"/>
              </w:rPr>
              <w:t>　　计划完成时间：按照项目实施计划或相关规定完成该项目所需的时间。</w:t>
            </w:r>
          </w:p>
        </w:tc>
      </w:tr>
      <w:tr>
        <w:tblPrEx>
          <w:tblCellMar>
            <w:top w:w="15" w:type="dxa"/>
            <w:left w:w="15" w:type="dxa"/>
            <w:bottom w:w="15" w:type="dxa"/>
            <w:right w:w="15" w:type="dxa"/>
          </w:tblCellMar>
        </w:tblPrEx>
        <w:trPr>
          <w:trHeight w:val="330" w:hRule="atLeast"/>
        </w:trPr>
        <w:tc>
          <w:tcPr>
            <w:tcW w:w="698" w:type="dxa"/>
            <w:vMerge w:val="continue"/>
            <w:tcBorders>
              <w:top w:val="single" w:color="E6E6E6" w:sz="6" w:space="0"/>
              <w:left w:val="single" w:color="E6E6E6" w:sz="6" w:space="0"/>
              <w:bottom w:val="single" w:color="E6E6E6" w:sz="6" w:space="0"/>
              <w:right w:val="single" w:color="E6E6E6" w:sz="6" w:space="0"/>
            </w:tcBorders>
            <w:shd w:val="clear" w:color="auto" w:fill="FFFFFF"/>
            <w:vAlign w:val="center"/>
          </w:tcPr>
          <w:p>
            <w:pPr>
              <w:jc w:val="left"/>
              <w:rPr>
                <w:rFonts w:ascii="Arial" w:hAnsi="Arial" w:cs="Arial"/>
                <w:color w:val="333333"/>
                <w:sz w:val="18"/>
                <w:szCs w:val="18"/>
              </w:rPr>
            </w:pPr>
          </w:p>
        </w:tc>
        <w:tc>
          <w:tcPr>
            <w:tcW w:w="712"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产出成本</w:t>
            </w:r>
          </w:p>
        </w:tc>
        <w:tc>
          <w:tcPr>
            <w:tcW w:w="90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成本节约率</w:t>
            </w:r>
          </w:p>
        </w:tc>
        <w:tc>
          <w:tcPr>
            <w:tcW w:w="234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完成项目计划工作目标的实际节约成本与计划成本的比率，用以反映和考核项目的成本节约程度。</w:t>
            </w:r>
          </w:p>
        </w:tc>
        <w:tc>
          <w:tcPr>
            <w:tcW w:w="4494"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　　成本节约率</w:t>
            </w:r>
            <w:r>
              <w:rPr>
                <w:rFonts w:ascii="Arial" w:hAnsi="Arial" w:cs="Arial"/>
                <w:color w:val="333333"/>
                <w:sz w:val="18"/>
                <w:szCs w:val="18"/>
              </w:rPr>
              <w:t>=[</w:t>
            </w:r>
            <w:r>
              <w:rPr>
                <w:rFonts w:hint="eastAsia" w:ascii="Arial" w:hAnsi="Arial" w:cs="Arial"/>
                <w:color w:val="333333"/>
                <w:sz w:val="18"/>
                <w:szCs w:val="18"/>
              </w:rPr>
              <w:t>（计划成本</w:t>
            </w:r>
            <w:r>
              <w:rPr>
                <w:rFonts w:ascii="Arial" w:hAnsi="Arial" w:cs="Arial"/>
                <w:color w:val="333333"/>
                <w:sz w:val="18"/>
                <w:szCs w:val="18"/>
              </w:rPr>
              <w:t>-</w:t>
            </w:r>
            <w:r>
              <w:rPr>
                <w:rFonts w:hint="eastAsia" w:ascii="Arial" w:hAnsi="Arial" w:cs="Arial"/>
                <w:color w:val="333333"/>
                <w:sz w:val="18"/>
                <w:szCs w:val="18"/>
              </w:rPr>
              <w:t>实际成本）</w:t>
            </w:r>
            <w:r>
              <w:rPr>
                <w:rFonts w:ascii="Arial" w:hAnsi="Arial" w:cs="Arial"/>
                <w:color w:val="333333"/>
                <w:sz w:val="18"/>
                <w:szCs w:val="18"/>
              </w:rPr>
              <w:t>/</w:t>
            </w:r>
            <w:r>
              <w:rPr>
                <w:rFonts w:hint="eastAsia" w:ascii="Arial" w:hAnsi="Arial" w:cs="Arial"/>
                <w:color w:val="333333"/>
                <w:sz w:val="18"/>
                <w:szCs w:val="18"/>
              </w:rPr>
              <w:t>计划成本</w:t>
            </w:r>
            <w:r>
              <w:rPr>
                <w:rFonts w:ascii="Arial" w:hAnsi="Arial" w:cs="Arial"/>
                <w:color w:val="333333"/>
                <w:sz w:val="18"/>
                <w:szCs w:val="18"/>
              </w:rPr>
              <w:t>]×100%</w:t>
            </w:r>
            <w:r>
              <w:rPr>
                <w:rFonts w:hint="eastAsia" w:ascii="Arial" w:hAnsi="Arial" w:cs="Arial"/>
                <w:color w:val="333333"/>
                <w:sz w:val="18"/>
                <w:szCs w:val="18"/>
              </w:rPr>
              <w:t>。</w:t>
            </w:r>
            <w:r>
              <w:rPr>
                <w:rFonts w:ascii="Arial" w:hAnsi="Arial" w:cs="Arial"/>
                <w:color w:val="333333"/>
                <w:sz w:val="18"/>
                <w:szCs w:val="18"/>
              </w:rPr>
              <w:br w:type="textWrapping"/>
            </w:r>
            <w:r>
              <w:rPr>
                <w:rFonts w:hint="eastAsia" w:ascii="Arial" w:hAnsi="Arial" w:cs="Arial"/>
                <w:color w:val="333333"/>
                <w:sz w:val="18"/>
                <w:szCs w:val="18"/>
              </w:rPr>
              <w:t>　　实际成本：项目实施单位如期、保质、保量完成既定工作目标实际所耗费的支出。</w:t>
            </w:r>
            <w:r>
              <w:rPr>
                <w:rFonts w:ascii="Arial" w:hAnsi="Arial" w:cs="Arial"/>
                <w:color w:val="333333"/>
                <w:sz w:val="18"/>
                <w:szCs w:val="18"/>
              </w:rPr>
              <w:br w:type="textWrapping"/>
            </w:r>
            <w:r>
              <w:rPr>
                <w:rFonts w:hint="eastAsia" w:ascii="Arial" w:hAnsi="Arial" w:cs="Arial"/>
                <w:color w:val="333333"/>
                <w:sz w:val="18"/>
                <w:szCs w:val="18"/>
              </w:rPr>
              <w:t>　　计划成本：项目实施单位为完成工作目标计划安排的支出，一般以项目预算为参考。</w:t>
            </w:r>
          </w:p>
        </w:tc>
      </w:tr>
      <w:tr>
        <w:tblPrEx>
          <w:tblCellMar>
            <w:top w:w="15" w:type="dxa"/>
            <w:left w:w="15" w:type="dxa"/>
            <w:bottom w:w="15" w:type="dxa"/>
            <w:right w:w="15" w:type="dxa"/>
          </w:tblCellMar>
        </w:tblPrEx>
        <w:trPr>
          <w:trHeight w:val="330" w:hRule="atLeast"/>
        </w:trPr>
        <w:tc>
          <w:tcPr>
            <w:tcW w:w="698" w:type="dxa"/>
            <w:vMerge w:val="restart"/>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vAlign w:val="cente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效益</w:t>
            </w:r>
          </w:p>
        </w:tc>
        <w:tc>
          <w:tcPr>
            <w:tcW w:w="712" w:type="dxa"/>
            <w:vMerge w:val="restart"/>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vAlign w:val="cente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项目效益</w:t>
            </w:r>
          </w:p>
        </w:tc>
        <w:tc>
          <w:tcPr>
            <w:tcW w:w="90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实施效益</w:t>
            </w:r>
          </w:p>
        </w:tc>
        <w:tc>
          <w:tcPr>
            <w:tcW w:w="234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项目实施所产生的效益。</w:t>
            </w:r>
          </w:p>
        </w:tc>
        <w:tc>
          <w:tcPr>
            <w:tcW w:w="4494"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项目实施所产生的社会效益、经济效益、生态效益、可持续影响等。可根据项目实际情况有选择地设置和细化。</w:t>
            </w:r>
          </w:p>
        </w:tc>
      </w:tr>
      <w:tr>
        <w:tblPrEx>
          <w:tblCellMar>
            <w:top w:w="15" w:type="dxa"/>
            <w:left w:w="15" w:type="dxa"/>
            <w:bottom w:w="15" w:type="dxa"/>
            <w:right w:w="15" w:type="dxa"/>
          </w:tblCellMar>
        </w:tblPrEx>
        <w:trPr>
          <w:trHeight w:val="330" w:hRule="atLeast"/>
        </w:trPr>
        <w:tc>
          <w:tcPr>
            <w:tcW w:w="698" w:type="dxa"/>
            <w:vMerge w:val="continue"/>
            <w:tcBorders>
              <w:top w:val="single" w:color="E6E6E6" w:sz="6" w:space="0"/>
              <w:left w:val="single" w:color="E6E6E6" w:sz="6" w:space="0"/>
              <w:bottom w:val="single" w:color="E6E6E6" w:sz="6" w:space="0"/>
              <w:right w:val="single" w:color="E6E6E6" w:sz="6" w:space="0"/>
            </w:tcBorders>
            <w:shd w:val="clear" w:color="auto" w:fill="FFFFFF"/>
            <w:vAlign w:val="center"/>
          </w:tcPr>
          <w:p>
            <w:pPr>
              <w:jc w:val="left"/>
              <w:rPr>
                <w:rFonts w:ascii="Arial" w:hAnsi="Arial" w:cs="Arial"/>
                <w:color w:val="333333"/>
                <w:sz w:val="18"/>
                <w:szCs w:val="18"/>
              </w:rPr>
            </w:pPr>
          </w:p>
        </w:tc>
        <w:tc>
          <w:tcPr>
            <w:tcW w:w="712" w:type="dxa"/>
            <w:vMerge w:val="continue"/>
            <w:tcBorders>
              <w:top w:val="single" w:color="E6E6E6" w:sz="6" w:space="0"/>
              <w:left w:val="single" w:color="E6E6E6" w:sz="6" w:space="0"/>
              <w:bottom w:val="single" w:color="E6E6E6" w:sz="6" w:space="0"/>
              <w:right w:val="single" w:color="E6E6E6" w:sz="6" w:space="0"/>
            </w:tcBorders>
            <w:shd w:val="clear" w:color="auto" w:fill="FFFFFF"/>
            <w:vAlign w:val="center"/>
          </w:tcPr>
          <w:p>
            <w:pPr>
              <w:jc w:val="left"/>
              <w:rPr>
                <w:rFonts w:ascii="Arial" w:hAnsi="Arial" w:cs="Arial"/>
                <w:color w:val="333333"/>
                <w:sz w:val="18"/>
                <w:szCs w:val="18"/>
              </w:rPr>
            </w:pPr>
          </w:p>
        </w:tc>
        <w:tc>
          <w:tcPr>
            <w:tcW w:w="90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满意度</w:t>
            </w:r>
          </w:p>
        </w:tc>
        <w:tc>
          <w:tcPr>
            <w:tcW w:w="2340"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社会公众或服务对象对项目实施效果的满意程度。</w:t>
            </w:r>
          </w:p>
        </w:tc>
        <w:tc>
          <w:tcPr>
            <w:tcW w:w="4494" w:type="dxa"/>
            <w:tcBorders>
              <w:top w:val="single" w:color="E6E6E6" w:sz="6" w:space="0"/>
              <w:left w:val="single" w:color="E6E6E6" w:sz="6" w:space="0"/>
              <w:bottom w:val="single" w:color="E6E6E6" w:sz="6" w:space="0"/>
              <w:right w:val="single" w:color="E6E6E6" w:sz="6" w:space="0"/>
            </w:tcBorders>
            <w:shd w:val="clear" w:color="auto" w:fill="FFFFFF"/>
            <w:tcMar>
              <w:top w:w="30" w:type="dxa"/>
              <w:left w:w="150" w:type="dxa"/>
              <w:bottom w:w="30" w:type="dxa"/>
              <w:right w:w="150" w:type="dxa"/>
            </w:tcMar>
          </w:tcPr>
          <w:p>
            <w:pPr>
              <w:wordWrap w:val="0"/>
              <w:spacing w:line="360" w:lineRule="atLeast"/>
              <w:jc w:val="left"/>
              <w:rPr>
                <w:rFonts w:ascii="Arial" w:hAnsi="Arial" w:cs="Arial"/>
                <w:color w:val="333333"/>
                <w:sz w:val="18"/>
                <w:szCs w:val="18"/>
              </w:rPr>
            </w:pPr>
            <w:r>
              <w:rPr>
                <w:rFonts w:hint="eastAsia" w:ascii="Arial" w:hAnsi="Arial" w:cs="Arial"/>
                <w:color w:val="333333"/>
                <w:sz w:val="18"/>
                <w:szCs w:val="18"/>
              </w:rPr>
              <w:t>社会公众或服务对象是指因该项目实施而受到影响的部门（单位）、群体或个人。一般采取社会调查的方式。</w:t>
            </w:r>
            <w:r>
              <w:rPr>
                <w:rFonts w:ascii="Arial" w:hAnsi="Arial" w:cs="Arial"/>
                <w:color w:val="3366CC"/>
                <w:sz w:val="18"/>
                <w:vertAlign w:val="superscript"/>
              </w:rPr>
              <w:t> </w:t>
            </w:r>
          </w:p>
        </w:tc>
      </w:tr>
    </w:tbl>
    <w:p>
      <w:pPr>
        <w:spacing w:line="560" w:lineRule="exact"/>
        <w:rPr>
          <w:rFonts w:ascii="仿宋_GB2312" w:hAnsi="仿宋" w:eastAsia="仿宋_GB2312" w:cs="仿宋_GB2312"/>
          <w:sz w:val="32"/>
          <w:szCs w:val="32"/>
        </w:rPr>
      </w:pPr>
    </w:p>
    <w:p>
      <w:pPr>
        <w:spacing w:line="560" w:lineRule="exact"/>
        <w:ind w:firstLine="600"/>
        <w:rPr>
          <w:rFonts w:ascii="仿宋_GB2312" w:hAnsi="仿宋" w:eastAsia="仿宋_GB2312" w:cs="仿宋_GB2312"/>
          <w:sz w:val="32"/>
          <w:szCs w:val="32"/>
        </w:rPr>
      </w:pPr>
      <w:r>
        <w:rPr>
          <w:rFonts w:hint="eastAsia" w:ascii="仿宋_GB2312" w:hAnsi="仿宋" w:eastAsia="仿宋_GB2312" w:cs="仿宋_GB2312"/>
          <w:sz w:val="32"/>
          <w:szCs w:val="32"/>
        </w:rPr>
        <w:t>绩效评价方法：比较法、成本效益分析法。</w:t>
      </w:r>
    </w:p>
    <w:p>
      <w:pPr>
        <w:spacing w:line="560" w:lineRule="exact"/>
        <w:ind w:firstLine="600"/>
        <w:rPr>
          <w:rFonts w:ascii="仿宋_GB2312" w:hAnsi="仿宋" w:eastAsia="仿宋_GB2312" w:cs="仿宋_GB2312"/>
          <w:sz w:val="32"/>
          <w:szCs w:val="32"/>
        </w:rPr>
      </w:pPr>
      <w:r>
        <w:rPr>
          <w:rFonts w:hint="eastAsia" w:ascii="仿宋_GB2312" w:hAnsi="仿宋" w:eastAsia="仿宋_GB2312" w:cs="仿宋_GB2312"/>
          <w:sz w:val="32"/>
          <w:szCs w:val="32"/>
        </w:rPr>
        <w:t>绩效评价标准：定量与定性评价相结合的比较法。</w:t>
      </w:r>
    </w:p>
    <w:p>
      <w:pPr>
        <w:spacing w:line="560" w:lineRule="exact"/>
        <w:ind w:firstLine="600"/>
        <w:rPr>
          <w:rFonts w:ascii="仿宋_GB2312" w:hAnsi="仿宋" w:eastAsia="仿宋_GB2312" w:cs="仿宋_GB2312"/>
          <w:b/>
          <w:sz w:val="32"/>
          <w:szCs w:val="32"/>
        </w:rPr>
      </w:pPr>
      <w:r>
        <w:rPr>
          <w:rFonts w:hint="eastAsia" w:ascii="仿宋_GB2312" w:hAnsi="仿宋" w:eastAsia="仿宋_GB2312" w:cs="仿宋_GB2312"/>
          <w:b/>
          <w:sz w:val="32"/>
          <w:szCs w:val="32"/>
        </w:rPr>
        <w:t>（三）绩效评价工作过程。</w:t>
      </w:r>
    </w:p>
    <w:p>
      <w:pPr>
        <w:spacing w:line="560" w:lineRule="exact"/>
        <w:ind w:firstLine="643" w:firstLineChars="200"/>
        <w:rPr>
          <w:rFonts w:ascii="仿宋_GB2312" w:hAnsi="仿宋" w:eastAsia="仿宋_GB2312" w:cs="仿宋_GB2312"/>
          <w:sz w:val="32"/>
          <w:szCs w:val="32"/>
          <w:lang w:val="zh-CN"/>
        </w:rPr>
      </w:pPr>
      <w:r>
        <w:rPr>
          <w:rFonts w:ascii="仿宋_GB2312" w:hAnsi="仿宋" w:eastAsia="仿宋_GB2312" w:cs="仿宋_GB2312"/>
          <w:b/>
          <w:bCs/>
          <w:sz w:val="32"/>
          <w:szCs w:val="32"/>
        </w:rPr>
        <w:t>1.</w:t>
      </w:r>
      <w:r>
        <w:rPr>
          <w:rFonts w:hint="eastAsia" w:ascii="仿宋_GB2312" w:hAnsi="仿宋" w:eastAsia="仿宋_GB2312" w:cs="仿宋_GB2312"/>
          <w:b/>
          <w:bCs/>
          <w:sz w:val="32"/>
          <w:szCs w:val="32"/>
          <w:lang w:val="zh-CN"/>
        </w:rPr>
        <w:t>准备阶段。</w:t>
      </w:r>
      <w:r>
        <w:rPr>
          <w:rFonts w:hint="eastAsia" w:ascii="仿宋_GB2312" w:hAnsi="仿宋" w:eastAsia="仿宋_GB2312" w:cs="仿宋_GB2312"/>
          <w:sz w:val="32"/>
          <w:szCs w:val="32"/>
          <w:lang w:val="zh-CN"/>
        </w:rPr>
        <w:t>确定本单位绩效自评项目、明确绩效评价要求与主体。</w:t>
      </w:r>
    </w:p>
    <w:p>
      <w:pPr>
        <w:spacing w:line="560" w:lineRule="exact"/>
        <w:ind w:firstLine="643" w:firstLineChars="200"/>
        <w:rPr>
          <w:rFonts w:ascii="仿宋_GB2312" w:hAnsi="仿宋" w:eastAsia="仿宋_GB2312" w:cs="仿宋_GB2312"/>
          <w:sz w:val="32"/>
          <w:szCs w:val="32"/>
          <w:lang w:val="zh-CN"/>
        </w:rPr>
      </w:pPr>
      <w:r>
        <w:rPr>
          <w:rFonts w:ascii="仿宋_GB2312" w:hAnsi="仿宋" w:eastAsia="仿宋_GB2312" w:cs="仿宋_GB2312"/>
          <w:b/>
          <w:bCs/>
          <w:sz w:val="32"/>
          <w:szCs w:val="32"/>
        </w:rPr>
        <w:t>2.</w:t>
      </w:r>
      <w:r>
        <w:rPr>
          <w:rFonts w:hint="eastAsia" w:ascii="仿宋_GB2312" w:hAnsi="仿宋" w:eastAsia="仿宋_GB2312" w:cs="仿宋_GB2312"/>
          <w:b/>
          <w:bCs/>
          <w:sz w:val="32"/>
          <w:szCs w:val="32"/>
          <w:lang w:val="zh-CN"/>
        </w:rPr>
        <w:t>实施阶段。</w:t>
      </w:r>
      <w:r>
        <w:rPr>
          <w:rFonts w:hint="eastAsia" w:ascii="仿宋_GB2312" w:hAnsi="仿宋" w:eastAsia="仿宋_GB2312" w:cs="仿宋_GB2312"/>
          <w:sz w:val="32"/>
          <w:szCs w:val="32"/>
          <w:lang w:val="zh-CN"/>
        </w:rPr>
        <w:t>组建绩效评价工作小组，制订绩效评价工作方案</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包括项目概况、评价思路、方法手段、组织实施、进度安排等</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，收集绩效评价相关资料并开展公众满意度调查，审查核实绩效评价资料，综合分析确定评价结论，撰写并提交绩效评价报告。</w:t>
      </w:r>
    </w:p>
    <w:p>
      <w:pPr>
        <w:spacing w:line="560" w:lineRule="exact"/>
        <w:ind w:firstLine="600"/>
        <w:rPr>
          <w:rFonts w:ascii="黑体" w:hAnsi="黑体" w:eastAsia="黑体" w:cs="黑体"/>
          <w:b/>
          <w:sz w:val="32"/>
          <w:szCs w:val="32"/>
          <w:highlight w:val="none"/>
        </w:rPr>
      </w:pPr>
      <w:r>
        <w:rPr>
          <w:rFonts w:hint="eastAsia" w:ascii="黑体" w:hAnsi="黑体" w:eastAsia="黑体" w:cs="黑体"/>
          <w:b/>
          <w:sz w:val="32"/>
          <w:szCs w:val="32"/>
          <w:highlight w:val="none"/>
        </w:rPr>
        <w:t>三、综合评价情况及评价结论（附相关评分表）</w:t>
      </w:r>
    </w:p>
    <w:p>
      <w:pPr>
        <w:spacing w:line="560" w:lineRule="exact"/>
        <w:ind w:firstLine="600"/>
        <w:rPr>
          <w:rFonts w:hint="eastAsia" w:ascii="仿宋_GB2312" w:hAnsi="仿宋" w:eastAsia="仿宋_GB2312" w:cs="黑体"/>
          <w:sz w:val="32"/>
          <w:szCs w:val="32"/>
          <w:highlight w:val="none"/>
        </w:rPr>
      </w:pPr>
      <w:r>
        <w:rPr>
          <w:rFonts w:ascii="仿宋_GB2312" w:hAnsi="仿宋" w:eastAsia="仿宋_GB2312" w:cs="黑体"/>
          <w:sz w:val="32"/>
          <w:szCs w:val="32"/>
          <w:highlight w:val="none"/>
        </w:rPr>
        <w:t>20</w:t>
      </w:r>
      <w:r>
        <w:rPr>
          <w:rFonts w:hint="eastAsia" w:ascii="仿宋_GB2312" w:hAnsi="仿宋" w:eastAsia="仿宋_GB2312" w:cs="黑体"/>
          <w:sz w:val="32"/>
          <w:szCs w:val="32"/>
          <w:highlight w:val="none"/>
        </w:rPr>
        <w:t>22年度对外宣传经费项目单位自评</w:t>
      </w:r>
      <w:r>
        <w:rPr>
          <w:rFonts w:hint="eastAsia" w:ascii="仿宋_GB2312" w:hAnsi="仿宋" w:eastAsia="仿宋_GB2312" w:cs="黑体"/>
          <w:sz w:val="32"/>
          <w:szCs w:val="32"/>
          <w:highlight w:val="none"/>
          <w:lang w:val="en-US" w:eastAsia="zh-CN"/>
        </w:rPr>
        <w:t>97.72</w:t>
      </w:r>
      <w:r>
        <w:rPr>
          <w:rFonts w:hint="eastAsia" w:ascii="仿宋_GB2312" w:hAnsi="仿宋" w:eastAsia="仿宋_GB2312" w:cs="黑体"/>
          <w:sz w:val="32"/>
          <w:szCs w:val="32"/>
          <w:highlight w:val="none"/>
        </w:rPr>
        <w:t>分，圆满完成当年计划。</w:t>
      </w:r>
    </w:p>
    <w:tbl>
      <w:tblPr>
        <w:tblW w:w="87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387"/>
        <w:gridCol w:w="458"/>
        <w:gridCol w:w="267"/>
        <w:gridCol w:w="1467"/>
        <w:gridCol w:w="240"/>
        <w:gridCol w:w="1032"/>
        <w:gridCol w:w="938"/>
        <w:gridCol w:w="1036"/>
        <w:gridCol w:w="993"/>
        <w:gridCol w:w="884"/>
        <w:gridCol w:w="10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9" w:hRule="atLeast"/>
        </w:trPr>
        <w:tc>
          <w:tcPr>
            <w:tcW w:w="387"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附件：</w:t>
            </w:r>
          </w:p>
        </w:tc>
        <w:tc>
          <w:tcPr>
            <w:tcW w:w="458" w:type="dxa"/>
            <w:tcBorders>
              <w:top w:val="nil"/>
              <w:left w:val="nil"/>
              <w:bottom w:val="nil"/>
              <w:right w:val="nil"/>
            </w:tcBorders>
            <w:shd w:val="clear"/>
            <w:noWrap/>
            <w:vAlign w:val="center"/>
          </w:tcPr>
          <w:p>
            <w:pPr>
              <w:rPr>
                <w:rFonts w:hint="eastAsia" w:ascii="宋体" w:hAnsi="宋体" w:eastAsia="宋体" w:cs="宋体"/>
                <w:i w:val="0"/>
                <w:iCs w:val="0"/>
                <w:color w:val="000000"/>
                <w:sz w:val="16"/>
                <w:szCs w:val="16"/>
                <w:u w:val="none"/>
              </w:rPr>
            </w:pPr>
          </w:p>
        </w:tc>
        <w:tc>
          <w:tcPr>
            <w:tcW w:w="267" w:type="dxa"/>
            <w:tcBorders>
              <w:top w:val="nil"/>
              <w:left w:val="nil"/>
              <w:bottom w:val="nil"/>
              <w:right w:val="nil"/>
            </w:tcBorders>
            <w:shd w:val="clear"/>
            <w:noWrap/>
            <w:vAlign w:val="center"/>
          </w:tcPr>
          <w:p>
            <w:pPr>
              <w:rPr>
                <w:rFonts w:hint="eastAsia" w:ascii="宋体" w:hAnsi="宋体" w:eastAsia="宋体" w:cs="宋体"/>
                <w:i w:val="0"/>
                <w:iCs w:val="0"/>
                <w:color w:val="000000"/>
                <w:sz w:val="16"/>
                <w:szCs w:val="16"/>
                <w:u w:val="none"/>
              </w:rPr>
            </w:pPr>
          </w:p>
        </w:tc>
        <w:tc>
          <w:tcPr>
            <w:tcW w:w="1467" w:type="dxa"/>
            <w:tcBorders>
              <w:top w:val="nil"/>
              <w:left w:val="nil"/>
              <w:bottom w:val="nil"/>
              <w:right w:val="nil"/>
            </w:tcBorders>
            <w:shd w:val="clear"/>
            <w:noWrap/>
            <w:vAlign w:val="center"/>
          </w:tcPr>
          <w:p>
            <w:pPr>
              <w:rPr>
                <w:rFonts w:hint="eastAsia" w:ascii="宋体" w:hAnsi="宋体" w:eastAsia="宋体" w:cs="宋体"/>
                <w:i w:val="0"/>
                <w:iCs w:val="0"/>
                <w:color w:val="000000"/>
                <w:sz w:val="16"/>
                <w:szCs w:val="16"/>
                <w:u w:val="none"/>
              </w:rPr>
            </w:pPr>
          </w:p>
        </w:tc>
        <w:tc>
          <w:tcPr>
            <w:tcW w:w="240" w:type="dxa"/>
            <w:tcBorders>
              <w:top w:val="nil"/>
              <w:left w:val="nil"/>
              <w:bottom w:val="nil"/>
              <w:right w:val="nil"/>
            </w:tcBorders>
            <w:shd w:val="clear"/>
            <w:noWrap/>
            <w:vAlign w:val="center"/>
          </w:tcPr>
          <w:p>
            <w:pPr>
              <w:rPr>
                <w:rFonts w:hint="eastAsia" w:ascii="宋体" w:hAnsi="宋体" w:eastAsia="宋体" w:cs="宋体"/>
                <w:i w:val="0"/>
                <w:iCs w:val="0"/>
                <w:color w:val="000000"/>
                <w:sz w:val="16"/>
                <w:szCs w:val="16"/>
                <w:u w:val="none"/>
              </w:rPr>
            </w:pPr>
          </w:p>
        </w:tc>
        <w:tc>
          <w:tcPr>
            <w:tcW w:w="1032" w:type="dxa"/>
            <w:tcBorders>
              <w:top w:val="nil"/>
              <w:left w:val="nil"/>
              <w:bottom w:val="nil"/>
              <w:right w:val="nil"/>
            </w:tcBorders>
            <w:shd w:val="clear"/>
            <w:noWrap/>
            <w:vAlign w:val="center"/>
          </w:tcPr>
          <w:p>
            <w:pPr>
              <w:rPr>
                <w:rFonts w:hint="eastAsia" w:ascii="宋体" w:hAnsi="宋体" w:eastAsia="宋体" w:cs="宋体"/>
                <w:i w:val="0"/>
                <w:iCs w:val="0"/>
                <w:color w:val="000000"/>
                <w:sz w:val="16"/>
                <w:szCs w:val="16"/>
                <w:u w:val="none"/>
              </w:rPr>
            </w:pPr>
          </w:p>
        </w:tc>
        <w:tc>
          <w:tcPr>
            <w:tcW w:w="938" w:type="dxa"/>
            <w:tcBorders>
              <w:top w:val="nil"/>
              <w:left w:val="nil"/>
              <w:bottom w:val="nil"/>
              <w:right w:val="nil"/>
            </w:tcBorders>
            <w:shd w:val="clear"/>
            <w:noWrap/>
            <w:vAlign w:val="center"/>
          </w:tcPr>
          <w:p>
            <w:pPr>
              <w:rPr>
                <w:rFonts w:hint="eastAsia" w:ascii="宋体" w:hAnsi="宋体" w:eastAsia="宋体" w:cs="宋体"/>
                <w:i w:val="0"/>
                <w:iCs w:val="0"/>
                <w:color w:val="000000"/>
                <w:sz w:val="16"/>
                <w:szCs w:val="16"/>
                <w:u w:val="none"/>
              </w:rPr>
            </w:pPr>
          </w:p>
        </w:tc>
        <w:tc>
          <w:tcPr>
            <w:tcW w:w="1036" w:type="dxa"/>
            <w:tcBorders>
              <w:top w:val="nil"/>
              <w:left w:val="nil"/>
              <w:bottom w:val="nil"/>
              <w:right w:val="nil"/>
            </w:tcBorders>
            <w:shd w:val="clear"/>
            <w:noWrap/>
            <w:vAlign w:val="center"/>
          </w:tcPr>
          <w:p>
            <w:pPr>
              <w:rPr>
                <w:rFonts w:hint="eastAsia" w:ascii="宋体" w:hAnsi="宋体" w:eastAsia="宋体" w:cs="宋体"/>
                <w:i w:val="0"/>
                <w:iCs w:val="0"/>
                <w:color w:val="000000"/>
                <w:sz w:val="16"/>
                <w:szCs w:val="16"/>
                <w:u w:val="none"/>
              </w:rPr>
            </w:pPr>
          </w:p>
        </w:tc>
        <w:tc>
          <w:tcPr>
            <w:tcW w:w="993" w:type="dxa"/>
            <w:tcBorders>
              <w:top w:val="nil"/>
              <w:left w:val="nil"/>
              <w:bottom w:val="nil"/>
              <w:right w:val="nil"/>
            </w:tcBorders>
            <w:shd w:val="clear"/>
            <w:noWrap/>
            <w:vAlign w:val="center"/>
          </w:tcPr>
          <w:p>
            <w:pPr>
              <w:rPr>
                <w:rFonts w:hint="eastAsia" w:ascii="宋体" w:hAnsi="宋体" w:eastAsia="宋体" w:cs="宋体"/>
                <w:i w:val="0"/>
                <w:iCs w:val="0"/>
                <w:color w:val="000000"/>
                <w:sz w:val="16"/>
                <w:szCs w:val="16"/>
                <w:u w:val="none"/>
              </w:rPr>
            </w:pPr>
          </w:p>
        </w:tc>
        <w:tc>
          <w:tcPr>
            <w:tcW w:w="884" w:type="dxa"/>
            <w:tcBorders>
              <w:top w:val="nil"/>
              <w:left w:val="nil"/>
              <w:bottom w:val="nil"/>
              <w:right w:val="nil"/>
            </w:tcBorders>
            <w:shd w:val="clear"/>
            <w:noWrap/>
            <w:vAlign w:val="center"/>
          </w:tcPr>
          <w:p>
            <w:pPr>
              <w:rPr>
                <w:rFonts w:hint="eastAsia" w:ascii="宋体" w:hAnsi="宋体" w:eastAsia="宋体" w:cs="宋体"/>
                <w:i w:val="0"/>
                <w:iCs w:val="0"/>
                <w:color w:val="000000"/>
                <w:sz w:val="16"/>
                <w:szCs w:val="16"/>
                <w:u w:val="none"/>
              </w:rPr>
            </w:pPr>
          </w:p>
        </w:tc>
        <w:tc>
          <w:tcPr>
            <w:tcW w:w="1058" w:type="dxa"/>
            <w:tcBorders>
              <w:top w:val="nil"/>
              <w:left w:val="nil"/>
              <w:bottom w:val="nil"/>
              <w:right w:val="nil"/>
            </w:tcBorders>
            <w:shd w:val="clear"/>
            <w:noWrap/>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00" w:hRule="atLeast"/>
        </w:trPr>
        <w:tc>
          <w:tcPr>
            <w:tcW w:w="8760" w:type="dxa"/>
            <w:gridSpan w:val="11"/>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项目支出绩效自评表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3" w:hRule="atLeast"/>
        </w:trPr>
        <w:tc>
          <w:tcPr>
            <w:tcW w:w="8760" w:type="dxa"/>
            <w:gridSpan w:val="11"/>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trPr>
        <w:tc>
          <w:tcPr>
            <w:tcW w:w="387"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16"/>
                <w:szCs w:val="16"/>
                <w:u w:val="none"/>
              </w:rPr>
            </w:pPr>
          </w:p>
        </w:tc>
        <w:tc>
          <w:tcPr>
            <w:tcW w:w="458"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16"/>
                <w:szCs w:val="16"/>
                <w:u w:val="none"/>
              </w:rPr>
            </w:pPr>
          </w:p>
        </w:tc>
        <w:tc>
          <w:tcPr>
            <w:tcW w:w="267"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16"/>
                <w:szCs w:val="16"/>
                <w:u w:val="none"/>
              </w:rPr>
            </w:pPr>
          </w:p>
        </w:tc>
        <w:tc>
          <w:tcPr>
            <w:tcW w:w="1467"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16"/>
                <w:szCs w:val="16"/>
                <w:u w:val="none"/>
              </w:rPr>
            </w:pPr>
          </w:p>
        </w:tc>
        <w:tc>
          <w:tcPr>
            <w:tcW w:w="240"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16"/>
                <w:szCs w:val="16"/>
                <w:u w:val="none"/>
              </w:rPr>
            </w:pPr>
          </w:p>
        </w:tc>
        <w:tc>
          <w:tcPr>
            <w:tcW w:w="1032"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16"/>
                <w:szCs w:val="16"/>
                <w:u w:val="none"/>
              </w:rPr>
            </w:pPr>
          </w:p>
        </w:tc>
        <w:tc>
          <w:tcPr>
            <w:tcW w:w="938"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16"/>
                <w:szCs w:val="16"/>
                <w:u w:val="none"/>
              </w:rPr>
            </w:pPr>
          </w:p>
        </w:tc>
        <w:tc>
          <w:tcPr>
            <w:tcW w:w="1036"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16"/>
                <w:szCs w:val="16"/>
                <w:u w:val="none"/>
              </w:rPr>
            </w:pPr>
          </w:p>
        </w:tc>
        <w:tc>
          <w:tcPr>
            <w:tcW w:w="993"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16"/>
                <w:szCs w:val="16"/>
                <w:u w:val="none"/>
              </w:rPr>
            </w:pPr>
          </w:p>
        </w:tc>
        <w:tc>
          <w:tcPr>
            <w:tcW w:w="884"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nil"/>
            </w:tcBorders>
            <w:shd w:val="clear"/>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2" w:hRule="atLeast"/>
        </w:trPr>
        <w:tc>
          <w:tcPr>
            <w:tcW w:w="1112"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项目名称</w:t>
            </w:r>
          </w:p>
        </w:tc>
        <w:tc>
          <w:tcPr>
            <w:tcW w:w="7648" w:type="dxa"/>
            <w:gridSpan w:val="8"/>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对外宣传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62" w:hRule="atLeast"/>
        </w:trPr>
        <w:tc>
          <w:tcPr>
            <w:tcW w:w="1112"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主管部门</w:t>
            </w:r>
          </w:p>
        </w:tc>
        <w:tc>
          <w:tcPr>
            <w:tcW w:w="2739"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040-中共黄山市委宣传部</w:t>
            </w:r>
          </w:p>
        </w:tc>
        <w:tc>
          <w:tcPr>
            <w:tcW w:w="93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实施单位</w:t>
            </w:r>
          </w:p>
        </w:tc>
        <w:tc>
          <w:tcPr>
            <w:tcW w:w="3971" w:type="dxa"/>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040001-中共黄山市委宣传部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9" w:hRule="atLeast"/>
        </w:trPr>
        <w:tc>
          <w:tcPr>
            <w:tcW w:w="1112" w:type="dxa"/>
            <w:gridSpan w:val="3"/>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项目资金                    （万元）</w:t>
            </w:r>
          </w:p>
        </w:tc>
        <w:tc>
          <w:tcPr>
            <w:tcW w:w="170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6"/>
                <w:szCs w:val="16"/>
                <w:u w:val="none"/>
              </w:rPr>
            </w:pPr>
          </w:p>
        </w:tc>
        <w:tc>
          <w:tcPr>
            <w:tcW w:w="103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年初预算数</w:t>
            </w: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全年预算数</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全年执行数</w:t>
            </w:r>
          </w:p>
        </w:tc>
        <w:tc>
          <w:tcPr>
            <w:tcW w:w="9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分值 </w:t>
            </w:r>
          </w:p>
        </w:tc>
        <w:tc>
          <w:tcPr>
            <w:tcW w:w="8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执行率</w:t>
            </w:r>
          </w:p>
        </w:tc>
        <w:tc>
          <w:tcPr>
            <w:tcW w:w="105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4" w:hRule="atLeast"/>
        </w:trPr>
        <w:tc>
          <w:tcPr>
            <w:tcW w:w="1112"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170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年度资金总额：</w:t>
            </w:r>
          </w:p>
        </w:tc>
        <w:tc>
          <w:tcPr>
            <w:tcW w:w="103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336.8</w:t>
            </w:r>
          </w:p>
        </w:tc>
        <w:tc>
          <w:tcPr>
            <w:tcW w:w="93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336.8</w:t>
            </w:r>
          </w:p>
        </w:tc>
        <w:tc>
          <w:tcPr>
            <w:tcW w:w="10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293.532</w:t>
            </w:r>
          </w:p>
        </w:tc>
        <w:tc>
          <w:tcPr>
            <w:tcW w:w="99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c>
          <w:tcPr>
            <w:tcW w:w="8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87.15%</w:t>
            </w:r>
          </w:p>
        </w:tc>
        <w:tc>
          <w:tcPr>
            <w:tcW w:w="105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32" w:hRule="atLeast"/>
        </w:trPr>
        <w:tc>
          <w:tcPr>
            <w:tcW w:w="1112"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170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其中：本年财政拨款</w:t>
            </w:r>
          </w:p>
        </w:tc>
        <w:tc>
          <w:tcPr>
            <w:tcW w:w="103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260</w:t>
            </w:r>
          </w:p>
        </w:tc>
        <w:tc>
          <w:tcPr>
            <w:tcW w:w="93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260</w:t>
            </w:r>
          </w:p>
        </w:tc>
        <w:tc>
          <w:tcPr>
            <w:tcW w:w="10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216.732</w:t>
            </w:r>
          </w:p>
        </w:tc>
        <w:tc>
          <w:tcPr>
            <w:tcW w:w="99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88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6"/>
                <w:szCs w:val="16"/>
                <w:u w:val="none"/>
              </w:rPr>
            </w:pPr>
          </w:p>
        </w:tc>
        <w:tc>
          <w:tcPr>
            <w:tcW w:w="105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6" w:hRule="atLeast"/>
        </w:trPr>
        <w:tc>
          <w:tcPr>
            <w:tcW w:w="1112"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1707"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上年结转资金</w:t>
            </w:r>
          </w:p>
        </w:tc>
        <w:tc>
          <w:tcPr>
            <w:tcW w:w="103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0</w:t>
            </w:r>
          </w:p>
        </w:tc>
        <w:tc>
          <w:tcPr>
            <w:tcW w:w="93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0</w:t>
            </w:r>
          </w:p>
        </w:tc>
        <w:tc>
          <w:tcPr>
            <w:tcW w:w="10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0</w:t>
            </w:r>
          </w:p>
        </w:tc>
        <w:tc>
          <w:tcPr>
            <w:tcW w:w="99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88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6"/>
                <w:szCs w:val="16"/>
                <w:u w:val="none"/>
              </w:rPr>
            </w:pPr>
          </w:p>
        </w:tc>
        <w:tc>
          <w:tcPr>
            <w:tcW w:w="105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9" w:hRule="atLeast"/>
        </w:trPr>
        <w:tc>
          <w:tcPr>
            <w:tcW w:w="1112" w:type="dxa"/>
            <w:gridSpan w:val="3"/>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1707" w:type="dxa"/>
            <w:gridSpan w:val="2"/>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 xml:space="preserve">          其他资金</w:t>
            </w:r>
          </w:p>
        </w:tc>
        <w:tc>
          <w:tcPr>
            <w:tcW w:w="1032"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76.8</w:t>
            </w:r>
          </w:p>
        </w:tc>
        <w:tc>
          <w:tcPr>
            <w:tcW w:w="938"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76.8</w:t>
            </w:r>
          </w:p>
        </w:tc>
        <w:tc>
          <w:tcPr>
            <w:tcW w:w="1036" w:type="dxa"/>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76.8</w:t>
            </w:r>
          </w:p>
        </w:tc>
        <w:tc>
          <w:tcPr>
            <w:tcW w:w="99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w:t>
            </w:r>
          </w:p>
        </w:tc>
        <w:tc>
          <w:tcPr>
            <w:tcW w:w="884"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6"/>
                <w:szCs w:val="16"/>
                <w:u w:val="none"/>
              </w:rPr>
            </w:pPr>
          </w:p>
        </w:tc>
        <w:tc>
          <w:tcPr>
            <w:tcW w:w="105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5" w:hRule="atLeast"/>
        </w:trPr>
        <w:tc>
          <w:tcPr>
            <w:tcW w:w="387" w:type="dxa"/>
            <w:vMerge w:val="restart"/>
            <w:tcBorders>
              <w:top w:val="single" w:color="000000" w:sz="4" w:space="0"/>
              <w:left w:val="single" w:color="000000" w:sz="4" w:space="0"/>
              <w:bottom w:val="single" w:color="000000" w:sz="4" w:space="0"/>
              <w:right w:val="single" w:color="000000" w:sz="4" w:space="0"/>
            </w:tcBorders>
            <w:shd w:val="clear"/>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年度总体目标</w:t>
            </w:r>
          </w:p>
        </w:tc>
        <w:tc>
          <w:tcPr>
            <w:tcW w:w="3464"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预期目标</w:t>
            </w:r>
          </w:p>
        </w:tc>
        <w:tc>
          <w:tcPr>
            <w:tcW w:w="4909" w:type="dxa"/>
            <w:gridSpan w:val="5"/>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60" w:hRule="atLeast"/>
        </w:trPr>
        <w:tc>
          <w:tcPr>
            <w:tcW w:w="387"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16"/>
                <w:szCs w:val="16"/>
                <w:u w:val="none"/>
              </w:rPr>
            </w:pPr>
          </w:p>
        </w:tc>
        <w:tc>
          <w:tcPr>
            <w:tcW w:w="3464"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讲好黄山故事 传播好黄山声音</w:t>
            </w:r>
          </w:p>
        </w:tc>
        <w:tc>
          <w:tcPr>
            <w:tcW w:w="4909"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全年共刊播省级以上媒体原创宣传黄山稿件3万余篇，打造多个现象级网络作品，在国内外互联网得到大量关注。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6" w:hRule="atLeast"/>
        </w:trPr>
        <w:tc>
          <w:tcPr>
            <w:tcW w:w="387" w:type="dxa"/>
            <w:vMerge w:val="restart"/>
            <w:tcBorders>
              <w:top w:val="single" w:color="000000" w:sz="4" w:space="0"/>
              <w:left w:val="single" w:color="000000" w:sz="4" w:space="0"/>
              <w:bottom w:val="single" w:color="000000" w:sz="4" w:space="0"/>
              <w:right w:val="single" w:color="000000" w:sz="4" w:space="0"/>
            </w:tcBorders>
            <w:shd w:val="clear"/>
            <w:noWrap/>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绩效指标</w:t>
            </w:r>
          </w:p>
        </w:tc>
        <w:tc>
          <w:tcPr>
            <w:tcW w:w="45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一级指标</w:t>
            </w:r>
          </w:p>
        </w:tc>
        <w:tc>
          <w:tcPr>
            <w:tcW w:w="26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二级指标</w:t>
            </w:r>
          </w:p>
        </w:tc>
        <w:tc>
          <w:tcPr>
            <w:tcW w:w="2739" w:type="dxa"/>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三级指标</w:t>
            </w: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年度指标值</w:t>
            </w:r>
          </w:p>
        </w:tc>
        <w:tc>
          <w:tcPr>
            <w:tcW w:w="10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实际完成值</w:t>
            </w:r>
          </w:p>
        </w:tc>
        <w:tc>
          <w:tcPr>
            <w:tcW w:w="9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分值</w:t>
            </w:r>
          </w:p>
        </w:tc>
        <w:tc>
          <w:tcPr>
            <w:tcW w:w="88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得分</w:t>
            </w:r>
          </w:p>
        </w:tc>
        <w:tc>
          <w:tcPr>
            <w:tcW w:w="105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6" w:hRule="atLeast"/>
        </w:trPr>
        <w:tc>
          <w:tcPr>
            <w:tcW w:w="387"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16"/>
                <w:szCs w:val="16"/>
                <w:u w:val="none"/>
              </w:rPr>
            </w:pPr>
          </w:p>
        </w:tc>
        <w:tc>
          <w:tcPr>
            <w:tcW w:w="458"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产出指标(50分)</w:t>
            </w:r>
          </w:p>
        </w:tc>
        <w:tc>
          <w:tcPr>
            <w:tcW w:w="2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数量指标</w:t>
            </w:r>
          </w:p>
        </w:tc>
        <w:tc>
          <w:tcPr>
            <w:tcW w:w="2739"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邀请专家授课及组织到外地高校培训</w:t>
            </w: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＝3次</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3</w:t>
            </w:r>
          </w:p>
        </w:tc>
        <w:tc>
          <w:tcPr>
            <w:tcW w:w="9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w:t>
            </w:r>
          </w:p>
        </w:tc>
        <w:tc>
          <w:tcPr>
            <w:tcW w:w="8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w:t>
            </w:r>
          </w:p>
        </w:tc>
        <w:tc>
          <w:tcPr>
            <w:tcW w:w="105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6" w:hRule="atLeast"/>
        </w:trPr>
        <w:tc>
          <w:tcPr>
            <w:tcW w:w="387"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16"/>
                <w:szCs w:val="16"/>
                <w:u w:val="none"/>
              </w:rPr>
            </w:pPr>
          </w:p>
        </w:tc>
        <w:tc>
          <w:tcPr>
            <w:tcW w:w="4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267"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质量指标</w:t>
            </w:r>
          </w:p>
        </w:tc>
        <w:tc>
          <w:tcPr>
            <w:tcW w:w="2739"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新闻发言人培训班</w:t>
            </w: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提高应对处置能力</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达成预期指标</w:t>
            </w:r>
          </w:p>
        </w:tc>
        <w:tc>
          <w:tcPr>
            <w:tcW w:w="9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w:t>
            </w:r>
          </w:p>
        </w:tc>
        <w:tc>
          <w:tcPr>
            <w:tcW w:w="8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15</w:t>
            </w:r>
          </w:p>
        </w:tc>
        <w:tc>
          <w:tcPr>
            <w:tcW w:w="105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6" w:hRule="atLeast"/>
        </w:trPr>
        <w:tc>
          <w:tcPr>
            <w:tcW w:w="387"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16"/>
                <w:szCs w:val="16"/>
                <w:u w:val="none"/>
              </w:rPr>
            </w:pPr>
          </w:p>
        </w:tc>
        <w:tc>
          <w:tcPr>
            <w:tcW w:w="4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267"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时效指标</w:t>
            </w:r>
          </w:p>
        </w:tc>
        <w:tc>
          <w:tcPr>
            <w:tcW w:w="2739"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全年项目支出预算执行率</w:t>
            </w: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≥90%</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87.15</w:t>
            </w:r>
          </w:p>
        </w:tc>
        <w:tc>
          <w:tcPr>
            <w:tcW w:w="9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c>
          <w:tcPr>
            <w:tcW w:w="8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w:t>
            </w:r>
          </w:p>
        </w:tc>
        <w:tc>
          <w:tcPr>
            <w:tcW w:w="105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年中另追加项目资金，年末结转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6" w:hRule="atLeast"/>
        </w:trPr>
        <w:tc>
          <w:tcPr>
            <w:tcW w:w="387"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16"/>
                <w:szCs w:val="16"/>
                <w:u w:val="none"/>
              </w:rPr>
            </w:pPr>
          </w:p>
        </w:tc>
        <w:tc>
          <w:tcPr>
            <w:tcW w:w="4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267"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成本指标</w:t>
            </w:r>
          </w:p>
        </w:tc>
        <w:tc>
          <w:tcPr>
            <w:tcW w:w="2739"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预算内资金合理规划使用</w:t>
            </w: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≤260万元</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293.53</w:t>
            </w:r>
          </w:p>
        </w:tc>
        <w:tc>
          <w:tcPr>
            <w:tcW w:w="9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c>
          <w:tcPr>
            <w:tcW w:w="8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c>
          <w:tcPr>
            <w:tcW w:w="105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89" w:hRule="atLeast"/>
        </w:trPr>
        <w:tc>
          <w:tcPr>
            <w:tcW w:w="387"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16"/>
                <w:szCs w:val="16"/>
                <w:u w:val="none"/>
              </w:rPr>
            </w:pPr>
          </w:p>
        </w:tc>
        <w:tc>
          <w:tcPr>
            <w:tcW w:w="458"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效益指标(30分)</w:t>
            </w:r>
          </w:p>
        </w:tc>
        <w:tc>
          <w:tcPr>
            <w:tcW w:w="2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经济效益指标</w:t>
            </w:r>
          </w:p>
        </w:tc>
        <w:tc>
          <w:tcPr>
            <w:tcW w:w="2739"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扩大黄山知名度（增加游客）</w:t>
            </w: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≥10000人</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10000</w:t>
            </w:r>
          </w:p>
        </w:tc>
        <w:tc>
          <w:tcPr>
            <w:tcW w:w="9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c>
          <w:tcPr>
            <w:tcW w:w="8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c>
          <w:tcPr>
            <w:tcW w:w="105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96" w:hRule="atLeast"/>
        </w:trPr>
        <w:tc>
          <w:tcPr>
            <w:tcW w:w="387"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16"/>
                <w:szCs w:val="16"/>
                <w:u w:val="none"/>
              </w:rPr>
            </w:pPr>
          </w:p>
        </w:tc>
        <w:tc>
          <w:tcPr>
            <w:tcW w:w="4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267" w:type="dxa"/>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社会效益指标</w:t>
            </w:r>
          </w:p>
        </w:tc>
        <w:tc>
          <w:tcPr>
            <w:tcW w:w="2739"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全市外宣选题谋划现场会</w:t>
            </w: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构建媒体宣传矩阵</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达成预期指标</w:t>
            </w:r>
          </w:p>
        </w:tc>
        <w:tc>
          <w:tcPr>
            <w:tcW w:w="9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w:t>
            </w:r>
          </w:p>
        </w:tc>
        <w:tc>
          <w:tcPr>
            <w:tcW w:w="8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w:t>
            </w:r>
          </w:p>
        </w:tc>
        <w:tc>
          <w:tcPr>
            <w:tcW w:w="105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6" w:hRule="atLeast"/>
        </w:trPr>
        <w:tc>
          <w:tcPr>
            <w:tcW w:w="387"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16"/>
                <w:szCs w:val="16"/>
                <w:u w:val="none"/>
              </w:rPr>
            </w:pPr>
          </w:p>
        </w:tc>
        <w:tc>
          <w:tcPr>
            <w:tcW w:w="4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267"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2739"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举办中央省级媒体看黄山集中采访活动</w:t>
            </w: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扩大黄山影响力</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达成预期指标</w:t>
            </w:r>
          </w:p>
        </w:tc>
        <w:tc>
          <w:tcPr>
            <w:tcW w:w="9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w:t>
            </w:r>
          </w:p>
        </w:tc>
        <w:tc>
          <w:tcPr>
            <w:tcW w:w="8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5</w:t>
            </w:r>
          </w:p>
        </w:tc>
        <w:tc>
          <w:tcPr>
            <w:tcW w:w="105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9" w:hRule="atLeast"/>
        </w:trPr>
        <w:tc>
          <w:tcPr>
            <w:tcW w:w="387"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16"/>
                <w:szCs w:val="16"/>
                <w:u w:val="none"/>
              </w:rPr>
            </w:pPr>
          </w:p>
        </w:tc>
        <w:tc>
          <w:tcPr>
            <w:tcW w:w="4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267"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生态效益指标</w:t>
            </w:r>
          </w:p>
        </w:tc>
        <w:tc>
          <w:tcPr>
            <w:tcW w:w="2739"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不适用</w:t>
            </w: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效益明显</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达成预期指标</w:t>
            </w:r>
          </w:p>
        </w:tc>
        <w:tc>
          <w:tcPr>
            <w:tcW w:w="993"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8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0</w:t>
            </w:r>
          </w:p>
        </w:tc>
        <w:tc>
          <w:tcPr>
            <w:tcW w:w="105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2" w:hRule="atLeast"/>
        </w:trPr>
        <w:tc>
          <w:tcPr>
            <w:tcW w:w="387"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16"/>
                <w:szCs w:val="16"/>
                <w:u w:val="none"/>
              </w:rPr>
            </w:pPr>
          </w:p>
        </w:tc>
        <w:tc>
          <w:tcPr>
            <w:tcW w:w="45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267"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可持续影响指标</w:t>
            </w:r>
          </w:p>
        </w:tc>
        <w:tc>
          <w:tcPr>
            <w:tcW w:w="2739"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新闻发布厅运营</w:t>
            </w: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召开新闻发布会，扩大主流影响力</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达成预期指标</w:t>
            </w:r>
          </w:p>
        </w:tc>
        <w:tc>
          <w:tcPr>
            <w:tcW w:w="9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c>
          <w:tcPr>
            <w:tcW w:w="8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c>
          <w:tcPr>
            <w:tcW w:w="105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92" w:hRule="atLeast"/>
        </w:trPr>
        <w:tc>
          <w:tcPr>
            <w:tcW w:w="387" w:type="dxa"/>
            <w:vMerge w:val="continue"/>
            <w:tcBorders>
              <w:top w:val="single" w:color="000000" w:sz="4" w:space="0"/>
              <w:left w:val="single" w:color="000000" w:sz="4" w:space="0"/>
              <w:bottom w:val="single" w:color="000000" w:sz="4" w:space="0"/>
              <w:right w:val="single" w:color="000000" w:sz="4" w:space="0"/>
            </w:tcBorders>
            <w:shd w:val="clear"/>
            <w:noWrap/>
            <w:textDirection w:val="tbRlV"/>
            <w:vAlign w:val="center"/>
          </w:tcPr>
          <w:p>
            <w:pPr>
              <w:jc w:val="center"/>
              <w:rPr>
                <w:rFonts w:hint="eastAsia" w:ascii="宋体" w:hAnsi="宋体" w:eastAsia="宋体" w:cs="宋体"/>
                <w:i w:val="0"/>
                <w:iCs w:val="0"/>
                <w:color w:val="000000"/>
                <w:sz w:val="16"/>
                <w:szCs w:val="16"/>
                <w:u w:val="none"/>
              </w:rPr>
            </w:pPr>
          </w:p>
        </w:tc>
        <w:tc>
          <w:tcPr>
            <w:tcW w:w="45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满意度指标(10分)</w:t>
            </w:r>
          </w:p>
        </w:tc>
        <w:tc>
          <w:tcPr>
            <w:tcW w:w="2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满意度指标</w:t>
            </w:r>
          </w:p>
        </w:tc>
        <w:tc>
          <w:tcPr>
            <w:tcW w:w="2739"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市民满意度</w:t>
            </w:r>
          </w:p>
        </w:tc>
        <w:tc>
          <w:tcPr>
            <w:tcW w:w="93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≥90%</w:t>
            </w:r>
          </w:p>
        </w:tc>
        <w:tc>
          <w:tcPr>
            <w:tcW w:w="103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95</w:t>
            </w:r>
          </w:p>
        </w:tc>
        <w:tc>
          <w:tcPr>
            <w:tcW w:w="99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c>
          <w:tcPr>
            <w:tcW w:w="8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c>
          <w:tcPr>
            <w:tcW w:w="105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8" w:hRule="atLeast"/>
        </w:trPr>
        <w:tc>
          <w:tcPr>
            <w:tcW w:w="3851" w:type="dxa"/>
            <w:gridSpan w:val="6"/>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bdr w:val="none" w:color="auto" w:sz="0" w:space="0"/>
                <w:lang w:val="en-US" w:eastAsia="zh-CN" w:bidi="ar"/>
              </w:rPr>
              <w:t>总分</w:t>
            </w:r>
          </w:p>
        </w:tc>
        <w:tc>
          <w:tcPr>
            <w:tcW w:w="938"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b/>
                <w:bCs/>
                <w:i w:val="0"/>
                <w:iCs w:val="0"/>
                <w:color w:val="000000"/>
                <w:sz w:val="16"/>
                <w:szCs w:val="16"/>
                <w:u w:val="none"/>
              </w:rPr>
            </w:pPr>
          </w:p>
        </w:tc>
        <w:tc>
          <w:tcPr>
            <w:tcW w:w="103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p>
        </w:tc>
        <w:tc>
          <w:tcPr>
            <w:tcW w:w="99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16"/>
                <w:szCs w:val="16"/>
                <w:u w:val="none"/>
                <w:lang w:val="en-US"/>
              </w:rPr>
            </w:pPr>
            <w:r>
              <w:rPr>
                <w:rFonts w:hint="eastAsia" w:ascii="宋体" w:cs="宋体"/>
                <w:b/>
                <w:bCs/>
                <w:i w:val="0"/>
                <w:iCs w:val="0"/>
                <w:color w:val="000000"/>
                <w:kern w:val="0"/>
                <w:sz w:val="16"/>
                <w:szCs w:val="16"/>
                <w:u w:val="none"/>
                <w:bdr w:val="none" w:color="auto" w:sz="0" w:space="0"/>
                <w:lang w:val="en-US" w:eastAsia="zh-CN" w:bidi="ar"/>
              </w:rPr>
              <w:t>100</w:t>
            </w:r>
          </w:p>
        </w:tc>
        <w:tc>
          <w:tcPr>
            <w:tcW w:w="1942" w:type="dxa"/>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lang w:val="en-US" w:eastAsia="zh-CN" w:bidi="ar-SA"/>
              </w:rPr>
            </w:pPr>
            <w:r>
              <w:rPr>
                <w:rFonts w:hint="eastAsia" w:ascii="宋体" w:hAnsi="宋体" w:eastAsia="宋体" w:cs="宋体"/>
                <w:b/>
                <w:bCs/>
                <w:i w:val="0"/>
                <w:iCs w:val="0"/>
                <w:color w:val="000000"/>
                <w:kern w:val="0"/>
                <w:sz w:val="16"/>
                <w:szCs w:val="16"/>
                <w:u w:val="none"/>
                <w:lang w:val="en-US" w:eastAsia="zh-CN" w:bidi="ar"/>
              </w:rPr>
              <w:t>97.72</w:t>
            </w:r>
          </w:p>
        </w:tc>
      </w:tr>
    </w:tbl>
    <w:p>
      <w:pPr>
        <w:spacing w:line="560" w:lineRule="exact"/>
        <w:rPr>
          <w:rFonts w:hint="eastAsia" w:ascii="仿宋_GB2312" w:hAnsi="仿宋" w:eastAsia="仿宋_GB2312" w:cs="黑体"/>
          <w:sz w:val="32"/>
          <w:szCs w:val="32"/>
          <w:highlight w:val="none"/>
        </w:rPr>
      </w:pPr>
    </w:p>
    <w:tbl>
      <w:tblPr>
        <w:tblStyle w:val="4"/>
        <w:tblW w:w="8847" w:type="dxa"/>
        <w:tblInd w:w="0" w:type="dxa"/>
        <w:tblLayout w:type="fixed"/>
        <w:tblCellMar>
          <w:top w:w="15" w:type="dxa"/>
          <w:left w:w="15" w:type="dxa"/>
          <w:bottom w:w="15" w:type="dxa"/>
          <w:right w:w="15" w:type="dxa"/>
        </w:tblCellMar>
      </w:tblPr>
      <w:tblGrid>
        <w:gridCol w:w="8847"/>
      </w:tblGrid>
      <w:tr>
        <w:tblPrEx>
          <w:tblCellMar>
            <w:top w:w="15" w:type="dxa"/>
            <w:left w:w="15" w:type="dxa"/>
            <w:bottom w:w="15" w:type="dxa"/>
            <w:right w:w="15" w:type="dxa"/>
          </w:tblCellMar>
        </w:tblPrEx>
        <w:trPr>
          <w:trHeight w:val="735" w:hRule="atLeast"/>
        </w:trPr>
        <w:tc>
          <w:tcPr>
            <w:tcW w:w="8847" w:type="dxa"/>
            <w:tcBorders>
              <w:top w:val="single" w:color="000000" w:sz="4" w:space="0"/>
            </w:tcBorders>
            <w:vAlign w:val="center"/>
          </w:tcPr>
          <w:p>
            <w:pPr>
              <w:jc w:val="left"/>
              <w:textAlignment w:val="center"/>
              <w:rPr>
                <w:rFonts w:ascii="宋体"/>
                <w:color w:val="000000"/>
                <w:sz w:val="16"/>
                <w:szCs w:val="16"/>
              </w:rPr>
            </w:pPr>
            <w:r>
              <w:rPr>
                <w:rFonts w:hint="eastAsia" w:ascii="宋体"/>
                <w:color w:val="000000"/>
                <w:sz w:val="16"/>
                <w:szCs w:val="16"/>
              </w:rPr>
              <w:t>注：</w:t>
            </w:r>
            <w:r>
              <w:rPr>
                <w:rFonts w:ascii="宋体"/>
                <w:color w:val="000000"/>
                <w:sz w:val="16"/>
                <w:szCs w:val="16"/>
              </w:rPr>
              <w:t>1.</w:t>
            </w:r>
            <w:r>
              <w:rPr>
                <w:rFonts w:hint="eastAsia" w:ascii="宋体"/>
                <w:color w:val="000000"/>
                <w:sz w:val="16"/>
                <w:szCs w:val="16"/>
              </w:rPr>
              <w:t>一级指标分值统一设置为：产出指标</w:t>
            </w:r>
            <w:r>
              <w:rPr>
                <w:rFonts w:ascii="宋体"/>
                <w:color w:val="000000"/>
                <w:sz w:val="16"/>
                <w:szCs w:val="16"/>
              </w:rPr>
              <w:t>50</w:t>
            </w:r>
            <w:r>
              <w:rPr>
                <w:rFonts w:hint="eastAsia" w:ascii="宋体"/>
                <w:color w:val="000000"/>
                <w:sz w:val="16"/>
                <w:szCs w:val="16"/>
              </w:rPr>
              <w:t>分、效益指标</w:t>
            </w:r>
            <w:r>
              <w:rPr>
                <w:rFonts w:ascii="宋体"/>
                <w:color w:val="000000"/>
                <w:sz w:val="16"/>
                <w:szCs w:val="16"/>
              </w:rPr>
              <w:t>30</w:t>
            </w:r>
            <w:r>
              <w:rPr>
                <w:rFonts w:hint="eastAsia" w:ascii="宋体"/>
                <w:color w:val="000000"/>
                <w:sz w:val="16"/>
                <w:szCs w:val="16"/>
              </w:rPr>
              <w:t>分、服务对象满意度指标</w:t>
            </w:r>
            <w:r>
              <w:rPr>
                <w:rFonts w:ascii="宋体"/>
                <w:color w:val="000000"/>
                <w:sz w:val="16"/>
                <w:szCs w:val="16"/>
              </w:rPr>
              <w:t>10</w:t>
            </w:r>
            <w:r>
              <w:rPr>
                <w:rFonts w:hint="eastAsia" w:ascii="宋体"/>
                <w:color w:val="000000"/>
                <w:sz w:val="16"/>
                <w:szCs w:val="16"/>
              </w:rPr>
              <w:t>分、预算资金执行率</w:t>
            </w:r>
            <w:r>
              <w:rPr>
                <w:rFonts w:ascii="宋体"/>
                <w:color w:val="000000"/>
                <w:sz w:val="16"/>
                <w:szCs w:val="16"/>
              </w:rPr>
              <w:t>10</w:t>
            </w:r>
            <w:r>
              <w:rPr>
                <w:rFonts w:hint="eastAsia" w:ascii="宋体"/>
                <w:color w:val="000000"/>
                <w:sz w:val="16"/>
                <w:szCs w:val="16"/>
              </w:rPr>
              <w:t>分。如有特殊情况，上述权重可做适当调整，但加总后应等于</w:t>
            </w:r>
            <w:r>
              <w:rPr>
                <w:rFonts w:ascii="宋体"/>
                <w:color w:val="000000"/>
                <w:sz w:val="16"/>
                <w:szCs w:val="16"/>
              </w:rPr>
              <w:t>100</w:t>
            </w:r>
            <w:r>
              <w:rPr>
                <w:rFonts w:hint="eastAsia" w:ascii="宋体"/>
                <w:color w:val="000000"/>
                <w:sz w:val="16"/>
                <w:szCs w:val="16"/>
              </w:rPr>
              <w:t>分。各部门根据各项指标重要程度确定三级指标的分值。得分一档最高不能超过该指标分值上限。</w:t>
            </w:r>
          </w:p>
        </w:tc>
      </w:tr>
      <w:tr>
        <w:tblPrEx>
          <w:tblCellMar>
            <w:top w:w="15" w:type="dxa"/>
            <w:left w:w="15" w:type="dxa"/>
            <w:bottom w:w="15" w:type="dxa"/>
            <w:right w:w="15" w:type="dxa"/>
          </w:tblCellMar>
        </w:tblPrEx>
        <w:trPr>
          <w:trHeight w:val="465" w:hRule="atLeast"/>
        </w:trPr>
        <w:tc>
          <w:tcPr>
            <w:tcW w:w="8847" w:type="dxa"/>
            <w:vAlign w:val="center"/>
          </w:tcPr>
          <w:p>
            <w:pPr>
              <w:jc w:val="left"/>
              <w:textAlignment w:val="center"/>
              <w:rPr>
                <w:rFonts w:ascii="宋体"/>
                <w:color w:val="000000"/>
                <w:sz w:val="16"/>
                <w:szCs w:val="16"/>
              </w:rPr>
            </w:pPr>
            <w:r>
              <w:rPr>
                <w:rFonts w:ascii="宋体"/>
                <w:color w:val="000000"/>
                <w:sz w:val="16"/>
                <w:szCs w:val="16"/>
              </w:rPr>
              <w:t xml:space="preserve">    2.</w:t>
            </w:r>
            <w:r>
              <w:rPr>
                <w:rFonts w:hint="eastAsia" w:ascii="宋体"/>
                <w:color w:val="000000"/>
                <w:sz w:val="16"/>
                <w:szCs w:val="16"/>
              </w:rPr>
              <w:t>定性指标根据指标完成情况分为：达成预期指标、部分达成预期指标并具有一定效果、未达成预期指标且效果较差三档，分别按照该指标对应分值区间</w:t>
            </w:r>
            <w:r>
              <w:rPr>
                <w:rFonts w:ascii="宋体"/>
                <w:color w:val="000000"/>
                <w:sz w:val="16"/>
                <w:szCs w:val="16"/>
              </w:rPr>
              <w:t>100-80%(</w:t>
            </w:r>
            <w:r>
              <w:rPr>
                <w:rFonts w:hint="eastAsia" w:ascii="宋体"/>
                <w:color w:val="000000"/>
                <w:sz w:val="16"/>
                <w:szCs w:val="16"/>
              </w:rPr>
              <w:t>含</w:t>
            </w:r>
            <w:r>
              <w:rPr>
                <w:rFonts w:ascii="宋体"/>
                <w:color w:val="000000"/>
                <w:sz w:val="16"/>
                <w:szCs w:val="16"/>
              </w:rPr>
              <w:t>80%)</w:t>
            </w:r>
            <w:r>
              <w:rPr>
                <w:rFonts w:hint="eastAsia" w:ascii="宋体"/>
                <w:color w:val="000000"/>
                <w:sz w:val="16"/>
                <w:szCs w:val="16"/>
              </w:rPr>
              <w:t>、</w:t>
            </w:r>
            <w:r>
              <w:rPr>
                <w:rFonts w:ascii="宋体"/>
                <w:color w:val="000000"/>
                <w:sz w:val="16"/>
                <w:szCs w:val="16"/>
              </w:rPr>
              <w:t>80-60%(</w:t>
            </w:r>
            <w:r>
              <w:rPr>
                <w:rFonts w:hint="eastAsia" w:ascii="宋体"/>
                <w:color w:val="000000"/>
                <w:sz w:val="16"/>
                <w:szCs w:val="16"/>
              </w:rPr>
              <w:t>含</w:t>
            </w:r>
            <w:r>
              <w:rPr>
                <w:rFonts w:ascii="宋体"/>
                <w:color w:val="000000"/>
                <w:sz w:val="16"/>
                <w:szCs w:val="16"/>
              </w:rPr>
              <w:t>60%)</w:t>
            </w:r>
            <w:r>
              <w:rPr>
                <w:rFonts w:hint="eastAsia" w:ascii="宋体"/>
                <w:color w:val="000000"/>
                <w:sz w:val="16"/>
                <w:szCs w:val="16"/>
              </w:rPr>
              <w:t>、</w:t>
            </w:r>
            <w:r>
              <w:rPr>
                <w:rFonts w:ascii="宋体"/>
                <w:color w:val="000000"/>
                <w:sz w:val="16"/>
                <w:szCs w:val="16"/>
              </w:rPr>
              <w:t>60-0%</w:t>
            </w:r>
            <w:r>
              <w:rPr>
                <w:rFonts w:hint="eastAsia" w:ascii="宋体"/>
                <w:color w:val="000000"/>
                <w:sz w:val="16"/>
                <w:szCs w:val="16"/>
              </w:rPr>
              <w:t>合理确定分值。</w:t>
            </w:r>
          </w:p>
        </w:tc>
      </w:tr>
      <w:tr>
        <w:tblPrEx>
          <w:tblCellMar>
            <w:top w:w="15" w:type="dxa"/>
            <w:left w:w="15" w:type="dxa"/>
            <w:bottom w:w="15" w:type="dxa"/>
            <w:right w:w="15" w:type="dxa"/>
          </w:tblCellMar>
        </w:tblPrEx>
        <w:trPr>
          <w:trHeight w:val="1140" w:hRule="atLeast"/>
        </w:trPr>
        <w:tc>
          <w:tcPr>
            <w:tcW w:w="8847" w:type="dxa"/>
          </w:tcPr>
          <w:p>
            <w:pPr>
              <w:jc w:val="left"/>
              <w:textAlignment w:val="top"/>
              <w:rPr>
                <w:rFonts w:ascii="宋体"/>
                <w:color w:val="000000"/>
                <w:sz w:val="16"/>
                <w:szCs w:val="16"/>
              </w:rPr>
            </w:pPr>
            <w:r>
              <w:rPr>
                <w:rFonts w:ascii="宋体"/>
                <w:color w:val="000000"/>
                <w:sz w:val="16"/>
                <w:szCs w:val="16"/>
              </w:rPr>
              <w:t xml:space="preserve">    3.</w:t>
            </w:r>
            <w:r>
              <w:rPr>
                <w:rFonts w:hint="eastAsia" w:ascii="宋体"/>
                <w:color w:val="000000"/>
                <w:sz w:val="16"/>
                <w:szCs w:val="16"/>
              </w:rPr>
              <w:t>定量指标若为正向指标（即指标值为≥</w:t>
            </w:r>
            <w:r>
              <w:rPr>
                <w:rFonts w:ascii="宋体"/>
                <w:color w:val="000000"/>
                <w:sz w:val="16"/>
                <w:szCs w:val="16"/>
              </w:rPr>
              <w:t>*</w:t>
            </w:r>
            <w:r>
              <w:rPr>
                <w:rFonts w:hint="eastAsia" w:ascii="宋体"/>
                <w:color w:val="000000"/>
                <w:sz w:val="16"/>
                <w:szCs w:val="16"/>
              </w:rPr>
              <w:t>），则得分计算方法应用全年实际值</w:t>
            </w:r>
            <w:r>
              <w:rPr>
                <w:rFonts w:ascii="宋体"/>
                <w:color w:val="000000"/>
                <w:sz w:val="16"/>
                <w:szCs w:val="16"/>
              </w:rPr>
              <w:t>/</w:t>
            </w:r>
            <w:r>
              <w:rPr>
                <w:rFonts w:hint="eastAsia" w:ascii="宋体"/>
                <w:color w:val="000000"/>
                <w:sz w:val="16"/>
                <w:szCs w:val="16"/>
              </w:rPr>
              <w:t>年度指标值╳该指标分值；若定量指标为反向指标（即指标值为≤</w:t>
            </w:r>
            <w:r>
              <w:rPr>
                <w:rFonts w:ascii="宋体"/>
                <w:color w:val="000000"/>
                <w:sz w:val="16"/>
                <w:szCs w:val="16"/>
              </w:rPr>
              <w:t>*</w:t>
            </w:r>
            <w:r>
              <w:rPr>
                <w:rFonts w:hint="eastAsia" w:ascii="宋体"/>
                <w:color w:val="000000"/>
                <w:sz w:val="16"/>
                <w:szCs w:val="16"/>
              </w:rPr>
              <w:t>），则得分计算方法应用年度指标值</w:t>
            </w:r>
            <w:r>
              <w:rPr>
                <w:rFonts w:ascii="宋体"/>
                <w:color w:val="000000"/>
                <w:sz w:val="16"/>
                <w:szCs w:val="16"/>
              </w:rPr>
              <w:t>/</w:t>
            </w:r>
            <w:r>
              <w:rPr>
                <w:rFonts w:hint="eastAsia" w:ascii="宋体"/>
                <w:color w:val="000000"/>
                <w:sz w:val="16"/>
                <w:szCs w:val="16"/>
              </w:rPr>
              <w:t>全年实际值╳该指标分值；定量指标得分最高不得超过该指标分值上限。</w:t>
            </w:r>
            <w:r>
              <w:rPr>
                <w:rFonts w:ascii="宋体"/>
                <w:color w:val="000000"/>
                <w:sz w:val="16"/>
                <w:szCs w:val="16"/>
              </w:rPr>
              <w:br w:type="textWrapping"/>
            </w:r>
            <w:r>
              <w:rPr>
                <w:rFonts w:ascii="宋体"/>
                <w:color w:val="000000"/>
                <w:sz w:val="16"/>
                <w:szCs w:val="16"/>
              </w:rPr>
              <w:t xml:space="preserve">    4.</w:t>
            </w:r>
            <w:r>
              <w:rPr>
                <w:rFonts w:hint="eastAsia" w:ascii="宋体"/>
                <w:color w:val="000000"/>
                <w:sz w:val="16"/>
                <w:szCs w:val="16"/>
              </w:rPr>
              <w:t>评价得分说明：说明全年实际值与年度指标值偏离情况（未达、持平、超额）。</w:t>
            </w:r>
          </w:p>
        </w:tc>
      </w:tr>
    </w:tbl>
    <w:p>
      <w:pPr>
        <w:spacing w:line="560" w:lineRule="exact"/>
        <w:ind w:firstLine="630" w:firstLineChars="196"/>
        <w:rPr>
          <w:rFonts w:ascii="黑体" w:hAnsi="黑体" w:eastAsia="黑体" w:cs="黑体"/>
          <w:b/>
          <w:sz w:val="32"/>
          <w:szCs w:val="32"/>
        </w:rPr>
      </w:pPr>
      <w:r>
        <w:rPr>
          <w:rFonts w:hint="eastAsia" w:ascii="黑体" w:hAnsi="黑体" w:eastAsia="黑体" w:cs="黑体"/>
          <w:b/>
          <w:sz w:val="32"/>
          <w:szCs w:val="32"/>
        </w:rPr>
        <w:t>四、绩效评价指标分析</w:t>
      </w:r>
    </w:p>
    <w:p>
      <w:pPr>
        <w:spacing w:line="560" w:lineRule="exact"/>
        <w:ind w:firstLine="472" w:firstLineChars="147"/>
        <w:rPr>
          <w:rFonts w:ascii="仿宋_GB2312" w:hAnsi="黑体" w:eastAsia="仿宋_GB2312" w:cs="黑体"/>
          <w:sz w:val="32"/>
          <w:szCs w:val="32"/>
        </w:rPr>
      </w:pPr>
      <w:r>
        <w:rPr>
          <w:rFonts w:hint="eastAsia" w:ascii="仿宋_GB2312" w:hAnsi="仿宋" w:eastAsia="仿宋_GB2312" w:cs="仿宋_GB2312"/>
          <w:b/>
          <w:sz w:val="32"/>
          <w:szCs w:val="32"/>
        </w:rPr>
        <w:t>（一）项目决策情况分析。</w:t>
      </w:r>
      <w:r>
        <w:rPr>
          <w:rFonts w:hint="eastAsia" w:ascii="仿宋_GB2312" w:hAnsi="仿宋" w:eastAsia="仿宋_GB2312" w:cs="仿宋_GB2312"/>
          <w:sz w:val="32"/>
          <w:szCs w:val="32"/>
        </w:rPr>
        <w:t>根据中共黄山市委宣传部主要职能确立本项目。</w:t>
      </w:r>
    </w:p>
    <w:p>
      <w:pPr>
        <w:spacing w:line="560" w:lineRule="exact"/>
        <w:ind w:firstLine="472" w:firstLineChars="147"/>
        <w:outlineLvl w:val="0"/>
        <w:rPr>
          <w:rFonts w:ascii="仿宋_GB2312" w:hAnsi="仿宋" w:eastAsia="仿宋_GB2312" w:cs="仿宋_GB2312"/>
          <w:sz w:val="32"/>
          <w:szCs w:val="32"/>
        </w:rPr>
      </w:pPr>
      <w:r>
        <w:rPr>
          <w:rFonts w:hint="eastAsia" w:ascii="仿宋_GB2312" w:hAnsi="仿宋" w:eastAsia="仿宋_GB2312" w:cs="仿宋_GB2312"/>
          <w:b/>
          <w:sz w:val="32"/>
          <w:szCs w:val="32"/>
        </w:rPr>
        <w:t>（二）项目过程情况分析。</w:t>
      </w:r>
      <w:r>
        <w:rPr>
          <w:rFonts w:hint="eastAsia" w:ascii="仿宋_GB2312" w:hAnsi="仿宋" w:eastAsia="仿宋_GB2312" w:cs="仿宋_GB2312"/>
          <w:sz w:val="32"/>
          <w:szCs w:val="32"/>
        </w:rPr>
        <w:t>项目按照年度工作计划有序推进。</w:t>
      </w:r>
    </w:p>
    <w:p>
      <w:pPr>
        <w:pStyle w:val="10"/>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_GB2312"/>
          <w:color w:val="000000"/>
          <w:sz w:val="32"/>
          <w:szCs w:val="32"/>
        </w:rPr>
      </w:pPr>
      <w:bookmarkStart w:id="0" w:name="_GoBack"/>
      <w:bookmarkEnd w:id="0"/>
      <w:r>
        <w:rPr>
          <w:rFonts w:hint="eastAsia" w:ascii="仿宋_GB2312" w:hAnsi="仿宋" w:eastAsia="仿宋_GB2312" w:cs="仿宋_GB2312"/>
          <w:b/>
          <w:sz w:val="32"/>
          <w:szCs w:val="32"/>
        </w:rPr>
        <w:t>（三）项目产出情况分析。</w:t>
      </w:r>
      <w:r>
        <w:rPr>
          <w:rFonts w:hint="eastAsia" w:ascii="仿宋_GB2312" w:hAnsi="仿宋" w:eastAsia="仿宋_GB2312"/>
          <w:sz w:val="32"/>
          <w:szCs w:val="32"/>
        </w:rPr>
        <w:t>项目年初预算资金</w:t>
      </w:r>
      <w:r>
        <w:rPr>
          <w:rFonts w:ascii="仿宋_GB2312" w:hAnsi="仿宋" w:eastAsia="仿宋_GB2312"/>
          <w:sz w:val="32"/>
          <w:szCs w:val="32"/>
        </w:rPr>
        <w:t>260</w:t>
      </w:r>
      <w:r>
        <w:rPr>
          <w:rFonts w:hint="eastAsia" w:ascii="仿宋_GB2312" w:hAnsi="仿宋" w:eastAsia="仿宋_GB2312"/>
          <w:sz w:val="32"/>
          <w:szCs w:val="32"/>
        </w:rPr>
        <w:t>万元，年中追加资金76.80万元，全年执行数为293.53万元，执行率87.15</w:t>
      </w:r>
      <w:r>
        <w:rPr>
          <w:rFonts w:ascii="仿宋_GB2312" w:hAnsi="仿宋" w:eastAsia="仿宋_GB2312"/>
          <w:sz w:val="32"/>
          <w:szCs w:val="32"/>
        </w:rPr>
        <w:t>%</w:t>
      </w:r>
      <w:r>
        <w:rPr>
          <w:rFonts w:hint="eastAsia" w:ascii="仿宋_GB2312" w:hAnsi="仿宋" w:eastAsia="仿宋_GB2312"/>
          <w:sz w:val="32"/>
          <w:szCs w:val="32"/>
        </w:rPr>
        <w:t>。</w:t>
      </w:r>
      <w:r>
        <w:rPr>
          <w:rFonts w:ascii="Times New Roman" w:hAnsi="Times New Roman" w:eastAsia="仿宋_GB2312"/>
          <w:color w:val="000000"/>
          <w:sz w:val="32"/>
          <w:szCs w:val="32"/>
        </w:rPr>
        <w:t>全年全市共刊播省级以上媒体原创稿件3万余篇。</w:t>
      </w:r>
      <w:r>
        <w:rPr>
          <w:rFonts w:hint="eastAsia" w:ascii="Times New Roman" w:hAnsi="Times New Roman" w:eastAsia="仿宋_GB2312"/>
          <w:color w:val="000000"/>
          <w:sz w:val="32"/>
          <w:szCs w:val="32"/>
        </w:rPr>
        <w:t>深入学习贯彻落实党的二十大精神，</w:t>
      </w:r>
      <w:r>
        <w:rPr>
          <w:rFonts w:ascii="Times New Roman" w:hAnsi="Times New Roman" w:eastAsia="仿宋_GB2312"/>
          <w:color w:val="000000"/>
          <w:sz w:val="32"/>
          <w:szCs w:val="32"/>
        </w:rPr>
        <w:t>新安江生态保护</w:t>
      </w:r>
      <w:r>
        <w:rPr>
          <w:rFonts w:hint="eastAsia" w:ascii="Times New Roman" w:hAnsi="Times New Roman" w:eastAsia="仿宋_GB2312"/>
          <w:color w:val="000000"/>
          <w:sz w:val="32"/>
          <w:szCs w:val="32"/>
        </w:rPr>
        <w:t>工作在央视新闻联播头条播出，推出</w:t>
      </w:r>
      <w:r>
        <w:rPr>
          <w:rFonts w:eastAsia="仿宋_GB2312"/>
          <w:color w:val="000000"/>
          <w:sz w:val="32"/>
          <w:szCs w:val="32"/>
        </w:rPr>
        <w:t>专访党的二十大代表凌云龙</w:t>
      </w:r>
      <w:r>
        <w:rPr>
          <w:rFonts w:hint="eastAsia" w:eastAsia="仿宋_GB2312"/>
          <w:color w:val="000000"/>
          <w:sz w:val="32"/>
          <w:szCs w:val="32"/>
        </w:rPr>
        <w:t>、</w:t>
      </w:r>
      <w:r>
        <w:rPr>
          <w:rFonts w:eastAsia="仿宋_GB2312"/>
          <w:color w:val="000000"/>
          <w:sz w:val="32"/>
          <w:szCs w:val="32"/>
        </w:rPr>
        <w:t>守菊的相关报道60余篇</w:t>
      </w:r>
      <w:r>
        <w:rPr>
          <w:rFonts w:hint="eastAsia" w:eastAsia="仿宋_GB2312"/>
          <w:color w:val="000000"/>
          <w:sz w:val="32"/>
          <w:szCs w:val="32"/>
        </w:rPr>
        <w:t>，</w:t>
      </w:r>
      <w:r>
        <w:rPr>
          <w:rFonts w:eastAsia="仿宋_GB2312"/>
          <w:color w:val="000000"/>
          <w:sz w:val="32"/>
          <w:szCs w:val="32"/>
        </w:rPr>
        <w:t>刊发习近平总书记回信精神</w:t>
      </w:r>
      <w:r>
        <w:rPr>
          <w:rFonts w:hint="eastAsia" w:eastAsia="仿宋_GB2312"/>
          <w:color w:val="000000"/>
          <w:sz w:val="32"/>
          <w:szCs w:val="32"/>
        </w:rPr>
        <w:t>相关</w:t>
      </w:r>
      <w:r>
        <w:rPr>
          <w:rFonts w:eastAsia="仿宋_GB2312"/>
          <w:color w:val="000000"/>
          <w:sz w:val="32"/>
          <w:szCs w:val="32"/>
        </w:rPr>
        <w:t>报道200余篇（条）</w:t>
      </w:r>
      <w:r>
        <w:rPr>
          <w:rFonts w:hint="eastAsia" w:eastAsia="仿宋_GB2312"/>
          <w:color w:val="000000"/>
          <w:sz w:val="32"/>
          <w:szCs w:val="32"/>
        </w:rPr>
        <w:t>。圆满完成多次重大外事活动宣传服务工作，获得省市主要领导的高度肯定，并得到外交部新闻司的表扬。</w:t>
      </w:r>
      <w:r>
        <w:rPr>
          <w:rFonts w:eastAsia="仿宋_GB2312"/>
          <w:color w:val="000000"/>
          <w:sz w:val="32"/>
          <w:szCs w:val="32"/>
        </w:rPr>
        <w:t>开设</w:t>
      </w:r>
      <w:r>
        <w:rPr>
          <w:rFonts w:eastAsia="仿宋_GB2312"/>
          <w:sz w:val="32"/>
          <w:szCs w:val="32"/>
        </w:rPr>
        <w:t>黄山海媒脸谱平台账号“Amazing Huangshan”，黄山英文网站上线</w:t>
      </w:r>
      <w:r>
        <w:rPr>
          <w:rFonts w:hint="eastAsia" w:eastAsia="仿宋_GB2312"/>
          <w:sz w:val="32"/>
          <w:szCs w:val="32"/>
        </w:rPr>
        <w:t>试</w:t>
      </w:r>
      <w:r>
        <w:rPr>
          <w:rFonts w:eastAsia="仿宋_GB2312"/>
          <w:sz w:val="32"/>
          <w:szCs w:val="32"/>
        </w:rPr>
        <w:t>运营。</w:t>
      </w:r>
      <w:r>
        <w:rPr>
          <w:rFonts w:hint="eastAsia" w:ascii="Times New Roman" w:hAnsi="Times New Roman" w:eastAsia="仿宋_GB2312"/>
          <w:color w:val="000000"/>
          <w:sz w:val="32"/>
          <w:szCs w:val="32"/>
        </w:rPr>
        <w:t>打造多个现象级网络作品,联合河南卫视打造的《重阳奇妙游》重磅节目，全网曝光近50亿次。</w:t>
      </w:r>
      <w:r>
        <w:rPr>
          <w:rFonts w:ascii="Times New Roman" w:hAnsi="Times New Roman" w:eastAsia="仿宋_GB2312"/>
          <w:color w:val="000000"/>
          <w:sz w:val="32"/>
          <w:szCs w:val="32"/>
        </w:rPr>
        <w:t>先后参与举办</w:t>
      </w:r>
      <w:r>
        <w:rPr>
          <w:rFonts w:hint="eastAsia" w:ascii="Times New Roman" w:hAnsi="Times New Roman" w:eastAsia="仿宋_GB2312"/>
          <w:color w:val="000000"/>
          <w:sz w:val="32"/>
          <w:szCs w:val="32"/>
        </w:rPr>
        <w:t>5</w:t>
      </w:r>
      <w:r>
        <w:rPr>
          <w:rFonts w:ascii="Times New Roman" w:hAnsi="Times New Roman" w:eastAsia="仿宋_GB2312"/>
          <w:color w:val="000000"/>
          <w:sz w:val="32"/>
          <w:szCs w:val="32"/>
        </w:rPr>
        <w:t>场“四季黄山”相约系列发布会、“新时代·新徽商”2021年度人物发布仪式等活动</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成功举办“2022年中国有约A Date with China”国际媒体主题采访黄山站活动</w:t>
      </w:r>
      <w:r>
        <w:rPr>
          <w:rFonts w:hint="eastAsia" w:ascii="Times New Roman" w:hAnsi="Times New Roman" w:eastAsia="仿宋_GB2312"/>
          <w:color w:val="000000"/>
          <w:sz w:val="32"/>
          <w:szCs w:val="32"/>
        </w:rPr>
        <w:t>。黄山知名度、美誉度得到大幅提升。</w:t>
      </w:r>
    </w:p>
    <w:p>
      <w:pPr>
        <w:pStyle w:val="10"/>
        <w:spacing w:line="560" w:lineRule="exact"/>
        <w:ind w:firstLine="643" w:firstLineChars="200"/>
        <w:rPr>
          <w:rFonts w:ascii="仿宋_GB2312" w:hAnsi="仿宋" w:eastAsia="仿宋_GB2312"/>
          <w:sz w:val="32"/>
          <w:szCs w:val="32"/>
        </w:rPr>
      </w:pPr>
      <w:r>
        <w:rPr>
          <w:rFonts w:hint="eastAsia" w:ascii="仿宋_GB2312" w:hAnsi="仿宋" w:eastAsia="仿宋_GB2312" w:cs="仿宋_GB2312"/>
          <w:b/>
          <w:sz w:val="32"/>
          <w:szCs w:val="32"/>
        </w:rPr>
        <w:t>（四）项目效益情况分析。</w:t>
      </w:r>
      <w:r>
        <w:rPr>
          <w:rFonts w:hint="eastAsia" w:ascii="仿宋_GB2312" w:hAnsi="仿宋" w:eastAsia="仿宋_GB2312"/>
          <w:sz w:val="32"/>
          <w:szCs w:val="32"/>
        </w:rPr>
        <w:t>通过项目实施，进一步强化对外宣传力度，传播黄山声音，提升黄山城市形象，扩大黄山知名度。</w:t>
      </w:r>
    </w:p>
    <w:p>
      <w:pPr>
        <w:spacing w:line="560" w:lineRule="exact"/>
        <w:ind w:firstLine="630" w:firstLineChars="196"/>
        <w:rPr>
          <w:rFonts w:ascii="黑体" w:hAnsi="黑体" w:eastAsia="黑体" w:cs="黑体"/>
          <w:b/>
          <w:sz w:val="32"/>
          <w:szCs w:val="32"/>
        </w:rPr>
      </w:pPr>
      <w:r>
        <w:rPr>
          <w:rFonts w:hint="eastAsia" w:ascii="黑体" w:hAnsi="黑体" w:eastAsia="黑体" w:cs="黑体"/>
          <w:b/>
          <w:sz w:val="32"/>
          <w:szCs w:val="32"/>
        </w:rPr>
        <w:t>五、主要经验及做法、存在的问题及原因分析</w:t>
      </w:r>
    </w:p>
    <w:p>
      <w:pPr>
        <w:spacing w:line="560" w:lineRule="exact"/>
        <w:ind w:firstLine="472" w:firstLineChars="147"/>
        <w:rPr>
          <w:rFonts w:ascii="仿宋_GB2312" w:hAnsi="仿宋" w:eastAsia="仿宋_GB2312" w:cs="黑体"/>
          <w:b/>
          <w:bCs/>
          <w:sz w:val="32"/>
          <w:szCs w:val="32"/>
          <w:highlight w:val="none"/>
        </w:rPr>
      </w:pPr>
      <w:r>
        <w:rPr>
          <w:rFonts w:hint="eastAsia" w:ascii="仿宋_GB2312" w:hAnsi="仿宋" w:eastAsia="仿宋_GB2312" w:cs="黑体"/>
          <w:b/>
          <w:bCs/>
          <w:sz w:val="32"/>
          <w:szCs w:val="32"/>
          <w:highlight w:val="none"/>
        </w:rPr>
        <w:t>（一）主要经验及做法。</w:t>
      </w:r>
    </w:p>
    <w:p>
      <w:pPr>
        <w:spacing w:line="360" w:lineRule="auto"/>
        <w:ind w:firstLine="640" w:firstLineChars="200"/>
        <w:rPr>
          <w:rFonts w:eastAsia="仿宋_GB2312"/>
          <w:sz w:val="32"/>
          <w:szCs w:val="32"/>
        </w:rPr>
      </w:pPr>
      <w:r>
        <w:rPr>
          <w:rFonts w:hint="eastAsia" w:ascii="仿宋_GB2312" w:hAnsi="仿宋" w:eastAsia="仿宋_GB2312"/>
          <w:sz w:val="32"/>
          <w:szCs w:val="32"/>
        </w:rPr>
        <w:t>一是加大媒体合作，在新民晚报、解放日报、香港商报等媒体开设专栏专版专题进行对外宣传；二是</w:t>
      </w:r>
      <w:r>
        <w:rPr>
          <w:rFonts w:hint="eastAsia" w:ascii="Times New Roman" w:hAnsi="Times New Roman" w:eastAsia="仿宋_GB2312" w:cs="仿宋_GB2312"/>
          <w:sz w:val="32"/>
          <w:szCs w:val="32"/>
        </w:rPr>
        <w:t>中央省级主流媒体原发稿件</w:t>
      </w:r>
      <w:r>
        <w:rPr>
          <w:rFonts w:hint="eastAsia" w:ascii="Times New Roman" w:hAnsi="Times New Roman" w:eastAsia="仿宋_GB2312" w:cs="Times New Roman"/>
          <w:sz w:val="32"/>
          <w:szCs w:val="32"/>
        </w:rPr>
        <w:t>3</w:t>
      </w:r>
      <w:r>
        <w:rPr>
          <w:rFonts w:hint="eastAsia" w:ascii="Times New Roman" w:hAnsi="Times New Roman" w:eastAsia="仿宋_GB2312" w:cs="仿宋_GB2312"/>
          <w:sz w:val="32"/>
          <w:szCs w:val="32"/>
        </w:rPr>
        <w:t>万余篇，围绕</w:t>
      </w:r>
      <w:r>
        <w:rPr>
          <w:rFonts w:hint="eastAsia" w:ascii="Times New Roman" w:hAnsi="Times New Roman" w:eastAsia="仿宋_GB2312"/>
          <w:color w:val="000000"/>
          <w:sz w:val="32"/>
          <w:szCs w:val="32"/>
        </w:rPr>
        <w:t>深入学习贯彻落实党的二十大精神，</w:t>
      </w:r>
      <w:r>
        <w:rPr>
          <w:rFonts w:ascii="Times New Roman" w:hAnsi="Times New Roman" w:eastAsia="仿宋_GB2312"/>
          <w:color w:val="000000"/>
          <w:sz w:val="32"/>
          <w:szCs w:val="32"/>
        </w:rPr>
        <w:t>新安江生态保护</w:t>
      </w:r>
      <w:r>
        <w:rPr>
          <w:rFonts w:hint="eastAsia" w:ascii="Times New Roman" w:hAnsi="Times New Roman" w:eastAsia="仿宋_GB2312"/>
          <w:color w:val="000000"/>
          <w:sz w:val="32"/>
          <w:szCs w:val="32"/>
        </w:rPr>
        <w:t>工作在央视新闻联播</w:t>
      </w:r>
      <w:r>
        <w:rPr>
          <w:rFonts w:hint="eastAsia" w:hAnsi="Calibri" w:eastAsia="仿宋_GB2312"/>
          <w:color w:val="000000"/>
          <w:sz w:val="32"/>
          <w:szCs w:val="32"/>
        </w:rPr>
        <w:t>头条播出，推出</w:t>
      </w:r>
      <w:r>
        <w:rPr>
          <w:rFonts w:eastAsia="仿宋_GB2312"/>
          <w:color w:val="000000"/>
          <w:sz w:val="32"/>
          <w:szCs w:val="32"/>
        </w:rPr>
        <w:t>专访党的二十大代表凌云龙</w:t>
      </w:r>
      <w:r>
        <w:rPr>
          <w:rFonts w:hint="eastAsia" w:eastAsia="仿宋_GB2312"/>
          <w:color w:val="000000"/>
          <w:sz w:val="32"/>
          <w:szCs w:val="32"/>
        </w:rPr>
        <w:t>、</w:t>
      </w:r>
      <w:r>
        <w:rPr>
          <w:rFonts w:eastAsia="仿宋_GB2312"/>
          <w:color w:val="000000"/>
          <w:sz w:val="32"/>
          <w:szCs w:val="32"/>
        </w:rPr>
        <w:t>守菊的相关报道60余篇</w:t>
      </w:r>
      <w:r>
        <w:rPr>
          <w:rFonts w:hint="eastAsia" w:eastAsia="仿宋_GB2312"/>
          <w:color w:val="000000"/>
          <w:sz w:val="32"/>
          <w:szCs w:val="32"/>
        </w:rPr>
        <w:t>，</w:t>
      </w:r>
      <w:r>
        <w:rPr>
          <w:rFonts w:eastAsia="仿宋_GB2312"/>
          <w:color w:val="000000"/>
          <w:sz w:val="32"/>
          <w:szCs w:val="32"/>
        </w:rPr>
        <w:t>刊发习近平总书记回信精神</w:t>
      </w:r>
      <w:r>
        <w:rPr>
          <w:rFonts w:hint="eastAsia" w:eastAsia="仿宋_GB2312"/>
          <w:color w:val="000000"/>
          <w:sz w:val="32"/>
          <w:szCs w:val="32"/>
        </w:rPr>
        <w:t>相关</w:t>
      </w:r>
      <w:r>
        <w:rPr>
          <w:rFonts w:eastAsia="仿宋_GB2312"/>
          <w:color w:val="000000"/>
          <w:sz w:val="32"/>
          <w:szCs w:val="32"/>
        </w:rPr>
        <w:t>报道200余篇（条）</w:t>
      </w:r>
      <w:r>
        <w:rPr>
          <w:rFonts w:hint="eastAsia" w:eastAsia="仿宋_GB2312"/>
          <w:color w:val="000000"/>
          <w:sz w:val="32"/>
          <w:szCs w:val="32"/>
        </w:rPr>
        <w:t>。围绕</w:t>
      </w:r>
      <w:r>
        <w:rPr>
          <w:rFonts w:hint="eastAsia" w:ascii="仿宋" w:hAnsi="仿宋" w:eastAsia="仿宋" w:cs="仿宋_GB2312"/>
          <w:color w:val="000000"/>
          <w:sz w:val="32"/>
          <w:szCs w:val="32"/>
        </w:rPr>
        <w:t>“花开黄山”“海外华文媒体走读黄山”“新安江生态保护”“黄山茶业经济”“小康生活”“乡村振兴”</w:t>
      </w:r>
      <w:r>
        <w:rPr>
          <w:rFonts w:hint="eastAsia" w:ascii="Times New Roman" w:hAnsi="Times New Roman" w:eastAsia="仿宋_GB2312" w:cs="仿宋_GB2312"/>
          <w:sz w:val="32"/>
          <w:szCs w:val="32"/>
        </w:rPr>
        <w:t>等主题，刊发各类稿件3万余条。三是加强国际化表达。</w:t>
      </w:r>
      <w:r>
        <w:rPr>
          <w:rFonts w:hint="eastAsia" w:eastAsia="仿宋_GB2312"/>
          <w:color w:val="000000"/>
          <w:sz w:val="32"/>
          <w:szCs w:val="32"/>
        </w:rPr>
        <w:t>圆满完成多次重大外事活动宣传服务工作，获得省市主要领导的高度肯定，并得到外交部新闻司的表扬。</w:t>
      </w:r>
      <w:r>
        <w:rPr>
          <w:rFonts w:eastAsia="仿宋_GB2312"/>
          <w:color w:val="000000"/>
          <w:sz w:val="32"/>
          <w:szCs w:val="32"/>
        </w:rPr>
        <w:t>开设</w:t>
      </w:r>
      <w:r>
        <w:rPr>
          <w:rFonts w:eastAsia="仿宋_GB2312"/>
          <w:sz w:val="32"/>
          <w:szCs w:val="32"/>
        </w:rPr>
        <w:t>黄山海媒脸谱平台账号“Amazing Huangshan”，黄山英文网站上线</w:t>
      </w:r>
      <w:r>
        <w:rPr>
          <w:rFonts w:hint="eastAsia" w:eastAsia="仿宋_GB2312"/>
          <w:sz w:val="32"/>
          <w:szCs w:val="32"/>
        </w:rPr>
        <w:t>试</w:t>
      </w:r>
      <w:r>
        <w:rPr>
          <w:rFonts w:eastAsia="仿宋_GB2312"/>
          <w:sz w:val="32"/>
          <w:szCs w:val="32"/>
        </w:rPr>
        <w:t>运营。</w:t>
      </w:r>
      <w:r>
        <w:rPr>
          <w:rFonts w:ascii="Times New Roman" w:hAnsi="Times New Roman" w:eastAsia="仿宋_GB2312"/>
          <w:color w:val="000000"/>
          <w:sz w:val="32"/>
          <w:szCs w:val="32"/>
        </w:rPr>
        <w:t>成功举办“2022年中国有约A Date with China”国际媒体主题采访黄山站活动</w:t>
      </w:r>
      <w:r>
        <w:rPr>
          <w:rFonts w:hint="eastAsia" w:ascii="Times New Roman" w:hAnsi="Times New Roman" w:eastAsia="仿宋_GB2312"/>
          <w:color w:val="000000"/>
          <w:sz w:val="32"/>
          <w:szCs w:val="32"/>
        </w:rPr>
        <w:t>。四是打造多个现象级网络作品。</w:t>
      </w:r>
      <w:r>
        <w:rPr>
          <w:rFonts w:hint="eastAsia" w:ascii="Times New Roman" w:hAnsi="Times New Roman" w:eastAsia="仿宋_GB2312" w:cs="Times New Roman"/>
          <w:color w:val="000000"/>
          <w:sz w:val="32"/>
          <w:szCs w:val="32"/>
        </w:rPr>
        <w:t>联合河南卫视打造的《重阳奇妙游》重磅节目，全网曝光近50</w:t>
      </w:r>
      <w:r>
        <w:rPr>
          <w:rFonts w:hint="eastAsia" w:ascii="Times New Roman" w:hAnsi="Times New Roman" w:eastAsia="仿宋_GB2312"/>
          <w:color w:val="000000"/>
          <w:sz w:val="32"/>
          <w:szCs w:val="32"/>
        </w:rPr>
        <w:t>亿次。策划制作的</w:t>
      </w:r>
      <w:r>
        <w:rPr>
          <w:rFonts w:hint="eastAsia" w:eastAsia="仿宋_GB2312"/>
          <w:sz w:val="32"/>
          <w:szCs w:val="32"/>
        </w:rPr>
        <w:t>35分钟</w:t>
      </w:r>
      <w:r>
        <w:rPr>
          <w:rFonts w:eastAsia="仿宋_GB2312"/>
          <w:sz w:val="32"/>
          <w:szCs w:val="32"/>
        </w:rPr>
        <w:t>纪录片《田野的“微”笑》，</w:t>
      </w:r>
      <w:r>
        <w:rPr>
          <w:rFonts w:hint="eastAsia" w:eastAsia="仿宋_GB2312"/>
          <w:sz w:val="32"/>
          <w:szCs w:val="32"/>
        </w:rPr>
        <w:t>得到省主要领导的高度肯定和</w:t>
      </w:r>
      <w:r>
        <w:rPr>
          <w:rFonts w:eastAsia="仿宋_GB2312"/>
          <w:sz w:val="32"/>
          <w:szCs w:val="32"/>
        </w:rPr>
        <w:t>点赞</w:t>
      </w:r>
      <w:r>
        <w:rPr>
          <w:rFonts w:hint="eastAsia" w:eastAsia="仿宋_GB2312"/>
          <w:sz w:val="32"/>
          <w:szCs w:val="32"/>
        </w:rPr>
        <w:t>并通过</w:t>
      </w:r>
      <w:r>
        <w:rPr>
          <w:rFonts w:eastAsia="仿宋_GB2312"/>
          <w:sz w:val="32"/>
          <w:szCs w:val="32"/>
        </w:rPr>
        <w:t>中央省级主流媒体，推出相关稿件280余篇（条）。</w:t>
      </w:r>
    </w:p>
    <w:p>
      <w:pPr>
        <w:spacing w:line="560" w:lineRule="exact"/>
        <w:ind w:firstLine="643" w:firstLineChars="200"/>
        <w:rPr>
          <w:rFonts w:ascii="仿宋_GB2312" w:hAnsi="仿宋" w:eastAsia="仿宋_GB2312"/>
          <w:b/>
          <w:bCs/>
          <w:sz w:val="32"/>
          <w:szCs w:val="32"/>
          <w:highlight w:val="none"/>
        </w:rPr>
      </w:pPr>
      <w:r>
        <w:rPr>
          <w:rFonts w:hint="eastAsia" w:ascii="仿宋_GB2312" w:hAnsi="仿宋" w:eastAsia="仿宋_GB2312"/>
          <w:b/>
          <w:bCs/>
          <w:sz w:val="32"/>
          <w:szCs w:val="32"/>
          <w:highlight w:val="none"/>
        </w:rPr>
        <w:t>（二）存在的问题及原因分析。</w:t>
      </w:r>
    </w:p>
    <w:p>
      <w:pPr>
        <w:spacing w:line="560" w:lineRule="exact"/>
        <w:ind w:firstLine="640" w:firstLineChars="200"/>
        <w:rPr>
          <w:rFonts w:ascii="仿宋_GB2312" w:hAnsi="仿宋" w:eastAsia="仿宋_GB2312"/>
          <w:bCs/>
          <w:color w:val="FF0000"/>
          <w:sz w:val="32"/>
          <w:szCs w:val="32"/>
        </w:rPr>
      </w:pPr>
      <w:r>
        <w:rPr>
          <w:rFonts w:hint="eastAsia" w:ascii="仿宋_GB2312" w:hAnsi="仿宋" w:eastAsia="仿宋_GB2312"/>
          <w:sz w:val="32"/>
          <w:szCs w:val="32"/>
        </w:rPr>
        <w:t>项目绩效目标设定较为简单，还未实现多元化，量化指标有待进一步细化分解。</w:t>
      </w:r>
    </w:p>
    <w:p>
      <w:pPr>
        <w:spacing w:line="560" w:lineRule="exact"/>
        <w:ind w:firstLine="630" w:firstLineChars="196"/>
        <w:rPr>
          <w:rFonts w:ascii="黑体" w:hAnsi="黑体" w:eastAsia="黑体" w:cs="黑体"/>
          <w:b/>
          <w:sz w:val="32"/>
          <w:szCs w:val="32"/>
        </w:rPr>
      </w:pPr>
      <w:r>
        <w:rPr>
          <w:rFonts w:hint="eastAsia" w:ascii="黑体" w:hAnsi="黑体" w:eastAsia="黑体" w:cs="黑体"/>
          <w:b/>
          <w:sz w:val="32"/>
          <w:szCs w:val="32"/>
        </w:rPr>
        <w:t>六、下一步改进建议</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优化绩效目标的设定，多元化、全方面设定绩效指标，构建合理的绩效评价体系，评价方法要注意适当性、可操作性。</w:t>
      </w:r>
    </w:p>
    <w:p>
      <w:pPr>
        <w:spacing w:line="560" w:lineRule="exact"/>
        <w:ind w:firstLine="630" w:firstLineChars="196"/>
        <w:rPr>
          <w:rFonts w:ascii="黑体" w:hAnsi="黑体" w:eastAsia="黑体" w:cs="黑体"/>
          <w:b/>
          <w:sz w:val="32"/>
          <w:szCs w:val="32"/>
        </w:rPr>
      </w:pPr>
      <w:r>
        <w:rPr>
          <w:rFonts w:hint="eastAsia" w:ascii="黑体" w:hAnsi="黑体" w:eastAsia="黑体" w:cs="黑体"/>
          <w:b/>
          <w:sz w:val="32"/>
          <w:szCs w:val="32"/>
        </w:rPr>
        <w:t>七、其他需要说明的问题</w:t>
      </w:r>
    </w:p>
    <w:p>
      <w:pPr>
        <w:spacing w:line="560" w:lineRule="exact"/>
        <w:rPr>
          <w:rFonts w:ascii="仿宋_GB2312" w:hAnsi="仿宋" w:eastAsia="仿宋_GB2312" w:cs="黑体"/>
          <w:sz w:val="32"/>
          <w:szCs w:val="32"/>
        </w:rPr>
      </w:pPr>
      <w:r>
        <w:rPr>
          <w:rFonts w:hint="eastAsia" w:ascii="仿宋_GB2312" w:hAnsi="仿宋" w:eastAsia="仿宋_GB2312" w:cs="黑体"/>
          <w:sz w:val="32"/>
          <w:szCs w:val="32"/>
        </w:rPr>
        <w:t>　　无。</w:t>
      </w:r>
    </w:p>
    <w:sectPr>
      <w:headerReference r:id="rId3" w:type="default"/>
      <w:pgSz w:w="11906" w:h="16838"/>
      <w:pgMar w:top="1928" w:right="1531" w:bottom="1701" w:left="1531" w:header="737" w:footer="851" w:gutter="0"/>
      <w:cols w:space="720" w:num="1"/>
      <w:docGrid w:type="lines" w:linePitch="312"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800"/>
  <w:displayHorizontalDrawingGridEvery w:val="1"/>
  <w:displayVerticalDrawingGridEvery w:val="1"/>
  <w:noPunctuationKerning w:val="1"/>
  <w:characterSpacingControl w:val="doNotCompress"/>
  <w:noLineBreaksAfter w:lang="zh-CN" w:val="$([{£¥·‘“〈《「『【〔〖〝﹙﹛﹝＄（．［｛￡￥"/>
  <w:noLineBreaksBefore w:lang="zh-CN" w:val="!%),.:;&gt;?]}¢¨°·ˇˉ―‖’”…‰′″›℃∶、。〃〉》」』】〕〗〞︶︺︾﹀﹄﹚﹜﹞！＂％＇），．：；？］｀｜｝～￠"/>
  <w:compat>
    <w:balanceSingleByteDoubleByteWidth/>
    <w:doNotExpandShiftReturn/>
    <w:doNotWrapTextWithPunct/>
    <w:doNotUseEastAsianBreakRules/>
    <w:useFELayout/>
    <w:doNotUseIndentAsNumberingTabStop/>
    <w:compatSetting w:name="compatibilityMode" w:uri="http://schemas.microsoft.com/office/word" w:val="12"/>
  </w:compat>
  <w:docVars>
    <w:docVar w:name="commondata" w:val="eyJoZGlkIjoiNzUxOTVkN2ZmMjVjM2EzNTY4MWNhM2I2OGZkMjAyOTMifQ=="/>
  </w:docVars>
  <w:rsids>
    <w:rsidRoot w:val="00100359"/>
    <w:rsid w:val="000E6D85"/>
    <w:rsid w:val="00100359"/>
    <w:rsid w:val="00114220"/>
    <w:rsid w:val="00134506"/>
    <w:rsid w:val="00176F9E"/>
    <w:rsid w:val="00192F66"/>
    <w:rsid w:val="001C6CD3"/>
    <w:rsid w:val="00255BD1"/>
    <w:rsid w:val="002B4DCB"/>
    <w:rsid w:val="002C4AF1"/>
    <w:rsid w:val="002D6042"/>
    <w:rsid w:val="0031402E"/>
    <w:rsid w:val="0038265A"/>
    <w:rsid w:val="00426282"/>
    <w:rsid w:val="00450DA3"/>
    <w:rsid w:val="004A0D78"/>
    <w:rsid w:val="004D3E59"/>
    <w:rsid w:val="004D7163"/>
    <w:rsid w:val="004E3B35"/>
    <w:rsid w:val="00511ABE"/>
    <w:rsid w:val="00533C9C"/>
    <w:rsid w:val="00565CA1"/>
    <w:rsid w:val="005B6795"/>
    <w:rsid w:val="005C3057"/>
    <w:rsid w:val="006540A7"/>
    <w:rsid w:val="00661EC1"/>
    <w:rsid w:val="006A4EFA"/>
    <w:rsid w:val="00715A0A"/>
    <w:rsid w:val="00750E84"/>
    <w:rsid w:val="00771954"/>
    <w:rsid w:val="00781168"/>
    <w:rsid w:val="00823801"/>
    <w:rsid w:val="008D6C30"/>
    <w:rsid w:val="00906AD3"/>
    <w:rsid w:val="0092151F"/>
    <w:rsid w:val="00926AD2"/>
    <w:rsid w:val="00966F81"/>
    <w:rsid w:val="00AD6715"/>
    <w:rsid w:val="00AE0C9C"/>
    <w:rsid w:val="00B97450"/>
    <w:rsid w:val="00C3503F"/>
    <w:rsid w:val="00C46136"/>
    <w:rsid w:val="00C564C5"/>
    <w:rsid w:val="00C572D9"/>
    <w:rsid w:val="00C84EA3"/>
    <w:rsid w:val="00CB35B7"/>
    <w:rsid w:val="00CB66FA"/>
    <w:rsid w:val="00CF1FA8"/>
    <w:rsid w:val="00D425EF"/>
    <w:rsid w:val="00D82502"/>
    <w:rsid w:val="00D947B2"/>
    <w:rsid w:val="00D97C90"/>
    <w:rsid w:val="00EE5B97"/>
    <w:rsid w:val="00EF2C76"/>
    <w:rsid w:val="00F558D2"/>
    <w:rsid w:val="0B25344E"/>
    <w:rsid w:val="1D5637ED"/>
    <w:rsid w:val="27315D1D"/>
    <w:rsid w:val="35F1068C"/>
    <w:rsid w:val="3A04322D"/>
    <w:rsid w:val="3F074785"/>
    <w:rsid w:val="4E113D91"/>
    <w:rsid w:val="4FD07F1A"/>
    <w:rsid w:val="50D77086"/>
    <w:rsid w:val="5C26549B"/>
    <w:rsid w:val="64D4650E"/>
    <w:rsid w:val="77345279"/>
    <w:rsid w:val="7BDB72CC"/>
    <w:rsid w:val="A656E6B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jc w:val="both"/>
    </w:pPr>
    <w:rPr>
      <w:rFonts w:ascii="Calibri" w:hAnsi="宋体" w:eastAsia="宋体" w:cs="宋体"/>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qFormat/>
    <w:locked/>
    <w:uiPriority w:val="99"/>
    <w:rPr>
      <w:rFonts w:ascii="Calibri" w:hAnsi="宋体" w:eastAsia="宋体" w:cs="宋体"/>
      <w:sz w:val="18"/>
      <w:szCs w:val="18"/>
    </w:rPr>
  </w:style>
  <w:style w:type="character" w:customStyle="1" w:styleId="7">
    <w:name w:val="页眉 Char"/>
    <w:basedOn w:val="5"/>
    <w:link w:val="3"/>
    <w:qFormat/>
    <w:locked/>
    <w:uiPriority w:val="99"/>
    <w:rPr>
      <w:rFonts w:ascii="Calibri" w:hAnsi="宋体" w:eastAsia="宋体" w:cs="宋体"/>
      <w:sz w:val="18"/>
      <w:szCs w:val="18"/>
    </w:rPr>
  </w:style>
  <w:style w:type="character" w:customStyle="1" w:styleId="8">
    <w:name w:val="font31"/>
    <w:basedOn w:val="5"/>
    <w:qFormat/>
    <w:uiPriority w:val="99"/>
    <w:rPr>
      <w:rFonts w:ascii="宋体" w:hAnsi="宋体" w:eastAsia="宋体" w:cs="宋体"/>
      <w:b/>
      <w:color w:val="000000"/>
      <w:sz w:val="32"/>
      <w:szCs w:val="32"/>
      <w:u w:val="none"/>
    </w:rPr>
  </w:style>
  <w:style w:type="character" w:customStyle="1" w:styleId="9">
    <w:name w:val="font21"/>
    <w:basedOn w:val="5"/>
    <w:qFormat/>
    <w:uiPriority w:val="99"/>
    <w:rPr>
      <w:rFonts w:ascii="宋体" w:hAnsi="宋体" w:eastAsia="宋体" w:cs="宋体"/>
      <w:color w:val="000000"/>
      <w:sz w:val="32"/>
      <w:szCs w:val="32"/>
      <w:u w:val="none"/>
    </w:rPr>
  </w:style>
  <w:style w:type="paragraph" w:customStyle="1" w:styleId="10">
    <w:name w:val="No Spacing"/>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951</Words>
  <Characters>5422</Characters>
  <Lines>45</Lines>
  <Paragraphs>12</Paragraphs>
  <TotalTime>2</TotalTime>
  <ScaleCrop>false</ScaleCrop>
  <LinksUpToDate>false</LinksUpToDate>
  <CharactersWithSpaces>6361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2023-06-29T02:38:00Z</dcterms:created>
  <dc:creator>liulu</dc:creator>
  <cp:lastModifiedBy>Crazy 萌杀</cp:lastModifiedBy>
  <dcterms:modified xsi:type="dcterms:W3CDTF">2023-06-29T03:08:57Z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706A9533CC0D453BBE4C6889FBE575C2</vt:lpwstr>
  </property>
</Properties>
</file>