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sz w:val="52"/>
          <w:szCs w:val="84"/>
        </w:rPr>
      </w:pPr>
    </w:p>
    <w:p>
      <w:pPr>
        <w:adjustRightInd w:val="0"/>
        <w:snapToGrid w:val="0"/>
        <w:spacing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黄山市</w:t>
      </w:r>
      <w:r>
        <w:rPr>
          <w:rFonts w:hint="eastAsia" w:ascii="方正小标宋简体" w:hAnsi="方正小标宋简体" w:eastAsia="方正小标宋简体" w:cs="方正小标宋简体"/>
          <w:b w:val="0"/>
          <w:bCs/>
          <w:sz w:val="44"/>
          <w:szCs w:val="44"/>
          <w:lang w:eastAsia="zh-CN"/>
        </w:rPr>
        <w:t>人民政府办公室</w:t>
      </w: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color w:val="auto"/>
          <w:sz w:val="44"/>
          <w:szCs w:val="44"/>
        </w:rPr>
        <w:t>度</w:t>
      </w:r>
      <w:r>
        <w:rPr>
          <w:rFonts w:hint="eastAsia" w:ascii="方正小标宋简体" w:hAnsi="方正小标宋简体" w:eastAsia="方正小标宋简体" w:cs="方正小标宋简体"/>
          <w:b w:val="0"/>
          <w:bCs/>
          <w:sz w:val="44"/>
          <w:szCs w:val="44"/>
        </w:rPr>
        <w:t>部门决算</w:t>
      </w: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pStyle w:val="6"/>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2</w:t>
      </w:r>
      <w:r>
        <w:rPr>
          <w:rFonts w:hint="eastAsia" w:ascii="黑体" w:hAnsi="黑体" w:eastAsia="黑体"/>
          <w:bCs/>
          <w:sz w:val="44"/>
          <w:szCs w:val="44"/>
        </w:rPr>
        <w:t>年</w:t>
      </w:r>
      <w:r>
        <w:rPr>
          <w:rFonts w:hint="eastAsia" w:ascii="黑体" w:hAnsi="黑体" w:eastAsia="黑体"/>
          <w:bCs/>
          <w:sz w:val="44"/>
          <w:szCs w:val="44"/>
          <w:lang w:val="en-US" w:eastAsia="zh-CN"/>
        </w:rPr>
        <w:t>9</w:t>
      </w:r>
      <w:r>
        <w:rPr>
          <w:rFonts w:hint="eastAsia" w:ascii="黑体" w:hAnsi="黑体" w:eastAsia="黑体"/>
          <w:bCs/>
          <w:sz w:val="44"/>
          <w:szCs w:val="44"/>
        </w:rPr>
        <w:t>月</w:t>
      </w:r>
    </w:p>
    <w:p>
      <w:pPr>
        <w:spacing w:line="580" w:lineRule="exact"/>
        <w:jc w:val="center"/>
        <w:rPr>
          <w:rFonts w:hint="eastAsia" w:ascii="黑体" w:hAnsi="宋体" w:eastAsia="黑体"/>
          <w:bCs/>
          <w:sz w:val="48"/>
          <w:szCs w:val="48"/>
        </w:rPr>
      </w:pPr>
    </w:p>
    <w:p>
      <w:pPr>
        <w:spacing w:line="580" w:lineRule="exact"/>
        <w:jc w:val="center"/>
        <w:rPr>
          <w:rFonts w:hint="eastAsia" w:ascii="黑体" w:hAnsi="宋体" w:eastAsia="黑体"/>
          <w:bCs/>
          <w:sz w:val="48"/>
          <w:szCs w:val="48"/>
        </w:rPr>
      </w:pPr>
    </w:p>
    <w:p>
      <w:pPr>
        <w:spacing w:line="580" w:lineRule="exact"/>
        <w:jc w:val="center"/>
        <w:rPr>
          <w:rFonts w:hint="eastAsia" w:ascii="黑体" w:hAnsi="宋体" w:eastAsia="黑体"/>
          <w:bCs/>
          <w:sz w:val="48"/>
          <w:szCs w:val="48"/>
        </w:rPr>
      </w:pPr>
    </w:p>
    <w:p>
      <w:pPr>
        <w:spacing w:line="580" w:lineRule="exact"/>
        <w:jc w:val="center"/>
        <w:rPr>
          <w:rFonts w:hint="eastAsia" w:ascii="黑体" w:hAnsi="宋体" w:eastAsia="黑体"/>
          <w:bCs/>
          <w:sz w:val="48"/>
          <w:szCs w:val="48"/>
        </w:rPr>
        <w:sectPr>
          <w:footerReference r:id="rId3" w:type="default"/>
          <w:pgSz w:w="11906" w:h="16838"/>
          <w:pgMar w:top="2155" w:right="1531" w:bottom="1588" w:left="1588" w:header="0" w:footer="1134" w:gutter="0"/>
          <w:pgBorders>
            <w:top w:val="none" w:sz="0" w:space="0"/>
            <w:left w:val="none" w:sz="0" w:space="0"/>
            <w:bottom w:val="none" w:sz="0" w:space="0"/>
            <w:right w:val="none" w:sz="0" w:space="0"/>
          </w:pgBorders>
          <w:pgNumType w:fmt="decimal" w:start="1"/>
          <w:cols w:space="720" w:num="1"/>
          <w:docGrid w:type="linesAndChars" w:linePitch="569" w:charSpace="-1266"/>
        </w:sectPr>
      </w:pPr>
    </w:p>
    <w:p>
      <w:pPr>
        <w:spacing w:line="580" w:lineRule="exact"/>
        <w:jc w:val="center"/>
        <w:rPr>
          <w:rFonts w:hint="eastAsia" w:ascii="黑体" w:hAnsi="宋体" w:eastAsia="黑体"/>
          <w:bCs/>
          <w:sz w:val="48"/>
          <w:szCs w:val="48"/>
        </w:rPr>
      </w:pPr>
      <w:r>
        <w:rPr>
          <w:rFonts w:hint="eastAsia" w:ascii="黑体" w:hAnsi="宋体" w:eastAsia="黑体"/>
          <w:bCs/>
          <w:sz w:val="48"/>
          <w:szCs w:val="48"/>
        </w:rPr>
        <w:t>目  录</w:t>
      </w:r>
    </w:p>
    <w:p>
      <w:pPr>
        <w:spacing w:line="550" w:lineRule="exact"/>
        <w:rPr>
          <w:rFonts w:hint="eastAsia"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val="en-US" w:eastAsia="zh-CN"/>
        </w:rPr>
        <w:t>黄山市</w:t>
      </w:r>
      <w:r>
        <w:rPr>
          <w:rFonts w:hint="eastAsia" w:ascii="宋体" w:hAnsi="宋体"/>
          <w:b/>
          <w:sz w:val="36"/>
          <w:szCs w:val="36"/>
          <w:lang w:eastAsia="zh-CN"/>
        </w:rPr>
        <w:t>人民政府办公室</w:t>
      </w:r>
      <w:r>
        <w:rPr>
          <w:rFonts w:hint="eastAsia" w:ascii="宋体" w:hAnsi="宋体"/>
          <w:b/>
          <w:sz w:val="36"/>
          <w:szCs w:val="36"/>
        </w:rPr>
        <w:t>概况</w:t>
      </w:r>
    </w:p>
    <w:p>
      <w:pPr>
        <w:numPr>
          <w:ilvl w:val="0"/>
          <w:numId w:val="0"/>
        </w:numPr>
        <w:spacing w:line="550" w:lineRule="exact"/>
        <w:rPr>
          <w:rFonts w:hint="eastAsia" w:ascii="宋体" w:hAnsi="宋体"/>
          <w:bCs/>
          <w:sz w:val="36"/>
          <w:szCs w:val="36"/>
        </w:rPr>
      </w:pPr>
      <w:r>
        <w:rPr>
          <w:rFonts w:hint="eastAsia" w:ascii="宋体" w:hAnsi="宋体"/>
          <w:bCs/>
          <w:sz w:val="36"/>
          <w:szCs w:val="36"/>
          <w:lang w:eastAsia="zh-CN"/>
        </w:rPr>
        <w:t>一、</w:t>
      </w:r>
      <w:r>
        <w:rPr>
          <w:rFonts w:hint="eastAsia" w:ascii="宋体" w:hAnsi="宋体"/>
          <w:bCs/>
          <w:sz w:val="36"/>
          <w:szCs w:val="36"/>
        </w:rPr>
        <w:t>部</w:t>
      </w:r>
      <w:r>
        <w:rPr>
          <w:rFonts w:hint="eastAsia" w:ascii="宋体" w:hAnsi="宋体"/>
          <w:bCs/>
          <w:color w:val="auto"/>
          <w:sz w:val="36"/>
          <w:szCs w:val="36"/>
        </w:rPr>
        <w:t>门</w:t>
      </w:r>
      <w:r>
        <w:rPr>
          <w:rFonts w:hint="eastAsia" w:ascii="宋体" w:hAnsi="宋体"/>
          <w:bCs/>
          <w:sz w:val="36"/>
          <w:szCs w:val="36"/>
        </w:rPr>
        <w:t>职责</w:t>
      </w:r>
    </w:p>
    <w:p>
      <w:pPr>
        <w:spacing w:line="550" w:lineRule="exact"/>
        <w:rPr>
          <w:rFonts w:hint="eastAsia" w:ascii="宋体" w:hAnsi="宋体"/>
          <w:bCs/>
          <w:sz w:val="36"/>
          <w:szCs w:val="36"/>
        </w:rPr>
      </w:pPr>
      <w:r>
        <w:rPr>
          <w:rFonts w:hint="eastAsia" w:ascii="宋体" w:hAnsi="宋体"/>
          <w:bCs/>
          <w:sz w:val="36"/>
          <w:szCs w:val="36"/>
        </w:rPr>
        <w:t>二、机构设置</w:t>
      </w:r>
    </w:p>
    <w:p>
      <w:pPr>
        <w:spacing w:line="550" w:lineRule="exact"/>
        <w:rPr>
          <w:rFonts w:hint="eastAsia"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黄山市</w:t>
      </w:r>
      <w:r>
        <w:rPr>
          <w:rFonts w:hint="eastAsia" w:ascii="宋体" w:hAnsi="宋体"/>
          <w:b/>
          <w:sz w:val="36"/>
          <w:szCs w:val="36"/>
          <w:lang w:eastAsia="zh-CN"/>
        </w:rPr>
        <w:t>人民政府办公室2021</w:t>
      </w:r>
      <w:r>
        <w:rPr>
          <w:rFonts w:hint="eastAsia" w:ascii="宋体" w:hAnsi="宋体"/>
          <w:b/>
          <w:sz w:val="36"/>
          <w:szCs w:val="36"/>
        </w:rPr>
        <w:t>年度部门决算表</w:t>
      </w:r>
    </w:p>
    <w:p>
      <w:pPr>
        <w:spacing w:line="550" w:lineRule="exact"/>
        <w:rPr>
          <w:rFonts w:hint="eastAsia" w:ascii="宋体" w:hAnsi="宋体"/>
          <w:bCs/>
          <w:sz w:val="36"/>
          <w:szCs w:val="36"/>
        </w:rPr>
      </w:pPr>
      <w:r>
        <w:rPr>
          <w:rFonts w:hint="eastAsia" w:ascii="宋体" w:hAnsi="宋体"/>
          <w:bCs/>
          <w:sz w:val="36"/>
          <w:szCs w:val="36"/>
        </w:rPr>
        <w:t>一、收入支出决算总表</w:t>
      </w:r>
    </w:p>
    <w:p>
      <w:pPr>
        <w:spacing w:line="550" w:lineRule="exact"/>
        <w:rPr>
          <w:rFonts w:hint="eastAsia" w:ascii="宋体" w:hAnsi="宋体"/>
          <w:bCs/>
          <w:sz w:val="36"/>
          <w:szCs w:val="36"/>
        </w:rPr>
      </w:pPr>
      <w:r>
        <w:rPr>
          <w:rFonts w:hint="eastAsia" w:ascii="宋体" w:hAnsi="宋体"/>
          <w:bCs/>
          <w:sz w:val="36"/>
          <w:szCs w:val="36"/>
        </w:rPr>
        <w:t>二、收入决算表</w:t>
      </w:r>
    </w:p>
    <w:p>
      <w:pPr>
        <w:spacing w:line="550" w:lineRule="exact"/>
        <w:rPr>
          <w:rFonts w:hint="eastAsia" w:ascii="宋体" w:hAnsi="宋体"/>
          <w:bCs/>
          <w:sz w:val="36"/>
          <w:szCs w:val="36"/>
        </w:rPr>
      </w:pPr>
      <w:r>
        <w:rPr>
          <w:rFonts w:hint="eastAsia" w:ascii="宋体" w:hAnsi="宋体"/>
          <w:bCs/>
          <w:sz w:val="36"/>
          <w:szCs w:val="36"/>
        </w:rPr>
        <w:t>三、支出决算表</w:t>
      </w:r>
    </w:p>
    <w:p>
      <w:pPr>
        <w:spacing w:line="550" w:lineRule="exact"/>
        <w:rPr>
          <w:rFonts w:hint="eastAsia" w:ascii="宋体" w:hAnsi="宋体"/>
          <w:bCs/>
          <w:sz w:val="36"/>
          <w:szCs w:val="36"/>
        </w:rPr>
      </w:pPr>
      <w:r>
        <w:rPr>
          <w:rFonts w:hint="eastAsia" w:ascii="宋体" w:hAnsi="宋体"/>
          <w:bCs/>
          <w:sz w:val="36"/>
          <w:szCs w:val="36"/>
        </w:rPr>
        <w:t>四、财政拨款收入支出决算总表</w:t>
      </w:r>
    </w:p>
    <w:p>
      <w:pPr>
        <w:spacing w:line="550" w:lineRule="exact"/>
        <w:rPr>
          <w:rFonts w:hint="eastAsia" w:ascii="宋体" w:hAnsi="宋体"/>
          <w:bCs/>
          <w:sz w:val="36"/>
          <w:szCs w:val="36"/>
        </w:rPr>
      </w:pPr>
      <w:r>
        <w:rPr>
          <w:rFonts w:hint="eastAsia" w:ascii="宋体" w:hAnsi="宋体"/>
          <w:bCs/>
          <w:sz w:val="36"/>
          <w:szCs w:val="36"/>
        </w:rPr>
        <w:t>五、一般公共预算财政拨款支出决算表</w:t>
      </w:r>
    </w:p>
    <w:p>
      <w:pPr>
        <w:spacing w:line="550" w:lineRule="exact"/>
        <w:rPr>
          <w:rFonts w:hint="eastAsia" w:ascii="宋体" w:hAnsi="宋体"/>
          <w:bCs/>
          <w:sz w:val="36"/>
          <w:szCs w:val="36"/>
        </w:rPr>
      </w:pPr>
      <w:r>
        <w:rPr>
          <w:rFonts w:hint="eastAsia" w:ascii="宋体" w:hAnsi="宋体"/>
          <w:bCs/>
          <w:sz w:val="36"/>
          <w:szCs w:val="36"/>
        </w:rPr>
        <w:t>六、一般公共预算财政拨款基本支出决算表</w:t>
      </w:r>
    </w:p>
    <w:p>
      <w:pPr>
        <w:spacing w:line="550" w:lineRule="exact"/>
        <w:rPr>
          <w:rFonts w:hint="eastAsia" w:ascii="宋体" w:hAnsi="宋体"/>
          <w:bCs/>
          <w:sz w:val="36"/>
          <w:szCs w:val="36"/>
        </w:rPr>
      </w:pPr>
      <w:r>
        <w:rPr>
          <w:rFonts w:hint="eastAsia" w:ascii="宋体" w:hAnsi="宋体"/>
          <w:bCs/>
          <w:sz w:val="36"/>
          <w:szCs w:val="36"/>
        </w:rPr>
        <w:t>七、政府性基金预算财政拨款收入支出决算表</w:t>
      </w:r>
    </w:p>
    <w:p>
      <w:pPr>
        <w:spacing w:line="550" w:lineRule="exact"/>
        <w:rPr>
          <w:rFonts w:hint="eastAsia" w:ascii="宋体" w:hAnsi="宋体"/>
          <w:bCs/>
          <w:sz w:val="36"/>
          <w:szCs w:val="36"/>
        </w:rPr>
      </w:pPr>
      <w:r>
        <w:rPr>
          <w:rFonts w:hint="eastAsia" w:ascii="宋体" w:hAnsi="宋体"/>
          <w:bCs/>
          <w:sz w:val="36"/>
          <w:szCs w:val="36"/>
        </w:rPr>
        <w:t>八、国有资本经营预算财政拨款支出决算表</w:t>
      </w:r>
    </w:p>
    <w:p>
      <w:pPr>
        <w:spacing w:line="550" w:lineRule="exact"/>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黄山市</w:t>
      </w:r>
      <w:r>
        <w:rPr>
          <w:rFonts w:hint="eastAsia" w:ascii="宋体" w:hAnsi="宋体"/>
          <w:b/>
          <w:sz w:val="36"/>
          <w:szCs w:val="36"/>
          <w:lang w:eastAsia="zh-CN"/>
        </w:rPr>
        <w:t>人民政府办公室2021</w:t>
      </w:r>
      <w:r>
        <w:rPr>
          <w:rFonts w:hint="eastAsia" w:ascii="宋体" w:hAnsi="宋体"/>
          <w:b/>
          <w:sz w:val="36"/>
          <w:szCs w:val="36"/>
        </w:rPr>
        <w:t>年度</w:t>
      </w:r>
      <w:r>
        <w:rPr>
          <w:rFonts w:hint="eastAsia" w:ascii="宋体" w:hAnsi="宋体"/>
          <w:b/>
          <w:sz w:val="36"/>
          <w:szCs w:val="36"/>
          <w:lang w:eastAsia="zh-CN"/>
        </w:rPr>
        <w:t>部门</w:t>
      </w:r>
      <w:r>
        <w:rPr>
          <w:rFonts w:hint="eastAsia" w:ascii="宋体" w:hAnsi="宋体"/>
          <w:b/>
          <w:sz w:val="36"/>
          <w:szCs w:val="36"/>
        </w:rPr>
        <w:t>决算情况说明</w:t>
      </w:r>
    </w:p>
    <w:p>
      <w:pPr>
        <w:spacing w:line="550" w:lineRule="exact"/>
        <w:rPr>
          <w:rFonts w:hint="eastAsia" w:ascii="宋体" w:hAnsi="宋体"/>
          <w:bCs/>
          <w:sz w:val="36"/>
          <w:szCs w:val="36"/>
        </w:rPr>
      </w:pPr>
      <w:r>
        <w:rPr>
          <w:rFonts w:hint="eastAsia" w:ascii="宋体" w:hAnsi="宋体"/>
          <w:bCs/>
          <w:sz w:val="36"/>
          <w:szCs w:val="36"/>
        </w:rPr>
        <w:t>一、收入支出决算总体情况</w:t>
      </w:r>
      <w:r>
        <w:rPr>
          <w:rFonts w:hint="eastAsia" w:ascii="宋体" w:hAnsi="宋体"/>
          <w:bCs/>
          <w:color w:val="auto"/>
          <w:sz w:val="36"/>
          <w:szCs w:val="36"/>
        </w:rPr>
        <w:t>说明</w:t>
      </w:r>
    </w:p>
    <w:p>
      <w:pPr>
        <w:spacing w:line="550" w:lineRule="exact"/>
        <w:rPr>
          <w:rFonts w:hint="eastAsia" w:ascii="宋体" w:hAnsi="宋体"/>
          <w:bCs/>
          <w:sz w:val="36"/>
          <w:szCs w:val="36"/>
        </w:rPr>
      </w:pPr>
      <w:r>
        <w:rPr>
          <w:rFonts w:hint="eastAsia" w:ascii="宋体" w:hAnsi="宋体"/>
          <w:bCs/>
          <w:sz w:val="36"/>
          <w:szCs w:val="36"/>
        </w:rPr>
        <w:t>二、收入决算情况说明</w:t>
      </w:r>
    </w:p>
    <w:p>
      <w:pPr>
        <w:spacing w:line="550" w:lineRule="exact"/>
        <w:rPr>
          <w:rFonts w:hint="eastAsia" w:ascii="宋体" w:hAnsi="宋体"/>
          <w:bCs/>
          <w:sz w:val="36"/>
          <w:szCs w:val="36"/>
        </w:rPr>
      </w:pPr>
      <w:r>
        <w:rPr>
          <w:rFonts w:hint="eastAsia" w:ascii="宋体" w:hAnsi="宋体"/>
          <w:bCs/>
          <w:sz w:val="36"/>
          <w:szCs w:val="36"/>
        </w:rPr>
        <w:t>三、支出决算情况说明</w:t>
      </w:r>
    </w:p>
    <w:p>
      <w:pPr>
        <w:spacing w:line="550" w:lineRule="exact"/>
        <w:rPr>
          <w:rFonts w:hint="eastAsia" w:ascii="宋体" w:hAnsi="宋体"/>
          <w:bCs/>
          <w:sz w:val="36"/>
          <w:szCs w:val="36"/>
        </w:rPr>
      </w:pPr>
      <w:r>
        <w:rPr>
          <w:rFonts w:hint="eastAsia" w:ascii="宋体" w:hAnsi="宋体"/>
          <w:bCs/>
          <w:sz w:val="36"/>
          <w:szCs w:val="36"/>
        </w:rPr>
        <w:t>四、财政拨款收入支出决算总体情况说明</w:t>
      </w:r>
    </w:p>
    <w:p>
      <w:pPr>
        <w:spacing w:line="550" w:lineRule="exact"/>
        <w:rPr>
          <w:rFonts w:hint="eastAsia" w:ascii="宋体" w:hAnsi="宋体"/>
          <w:bCs/>
          <w:sz w:val="36"/>
          <w:szCs w:val="36"/>
        </w:rPr>
      </w:pPr>
      <w:r>
        <w:rPr>
          <w:rFonts w:hint="eastAsia" w:ascii="宋体" w:hAnsi="宋体"/>
          <w:bCs/>
          <w:sz w:val="36"/>
          <w:szCs w:val="36"/>
        </w:rPr>
        <w:t>五、一般公共预算财政拨款支出决算情况说明</w:t>
      </w:r>
    </w:p>
    <w:p>
      <w:pPr>
        <w:spacing w:line="550" w:lineRule="exact"/>
        <w:rPr>
          <w:rFonts w:hint="eastAsia" w:ascii="宋体" w:hAnsi="宋体"/>
          <w:bCs/>
          <w:sz w:val="36"/>
          <w:szCs w:val="36"/>
        </w:rPr>
      </w:pPr>
      <w:r>
        <w:rPr>
          <w:rFonts w:hint="eastAsia" w:ascii="宋体" w:hAnsi="宋体"/>
          <w:bCs/>
          <w:sz w:val="36"/>
          <w:szCs w:val="36"/>
        </w:rPr>
        <w:t>六、一般公共预算财政拨款基本支出决算情况说明</w:t>
      </w:r>
    </w:p>
    <w:p>
      <w:pPr>
        <w:spacing w:line="550" w:lineRule="exact"/>
        <w:rPr>
          <w:rFonts w:hint="eastAsia" w:ascii="宋体" w:hAnsi="宋体"/>
          <w:bCs/>
          <w:sz w:val="36"/>
          <w:szCs w:val="36"/>
        </w:rPr>
      </w:pPr>
      <w:r>
        <w:rPr>
          <w:rFonts w:hint="eastAsia" w:ascii="宋体" w:hAnsi="宋体"/>
          <w:bCs/>
          <w:sz w:val="36"/>
          <w:szCs w:val="36"/>
        </w:rPr>
        <w:t>七、政府性基</w:t>
      </w:r>
      <w:r>
        <w:rPr>
          <w:rFonts w:hint="eastAsia" w:ascii="宋体" w:hAnsi="宋体"/>
          <w:bCs/>
          <w:color w:val="auto"/>
          <w:sz w:val="36"/>
          <w:szCs w:val="36"/>
        </w:rPr>
        <w:t>金</w:t>
      </w:r>
      <w:r>
        <w:rPr>
          <w:rFonts w:hint="eastAsia" w:ascii="宋体" w:hAnsi="宋体"/>
          <w:bCs/>
          <w:color w:val="auto"/>
          <w:sz w:val="36"/>
          <w:szCs w:val="36"/>
          <w:lang w:eastAsia="zh-CN"/>
        </w:rPr>
        <w:t>预算</w:t>
      </w:r>
      <w:r>
        <w:rPr>
          <w:rFonts w:hint="eastAsia" w:ascii="宋体" w:hAnsi="宋体"/>
          <w:bCs/>
          <w:color w:val="auto"/>
          <w:sz w:val="36"/>
          <w:szCs w:val="36"/>
        </w:rPr>
        <w:t>财政拨款</w:t>
      </w:r>
      <w:r>
        <w:rPr>
          <w:rFonts w:hint="eastAsia" w:ascii="宋体" w:hAnsi="宋体"/>
          <w:bCs/>
          <w:sz w:val="36"/>
          <w:szCs w:val="36"/>
        </w:rPr>
        <w:t>收入支出决算情况说明</w:t>
      </w:r>
    </w:p>
    <w:p>
      <w:pPr>
        <w:spacing w:line="550" w:lineRule="exact"/>
        <w:rPr>
          <w:rFonts w:hint="eastAsia" w:ascii="宋体" w:hAnsi="宋体"/>
          <w:bCs/>
          <w:sz w:val="36"/>
          <w:szCs w:val="36"/>
        </w:rPr>
      </w:pPr>
      <w:r>
        <w:rPr>
          <w:rFonts w:hint="eastAsia" w:ascii="宋体" w:hAnsi="宋体"/>
          <w:bCs/>
          <w:sz w:val="36"/>
          <w:szCs w:val="36"/>
        </w:rPr>
        <w:t>八、国有资本经营预算财政拨款支出决算情况说明</w:t>
      </w:r>
    </w:p>
    <w:p>
      <w:pPr>
        <w:spacing w:line="550" w:lineRule="exact"/>
        <w:rPr>
          <w:rFonts w:hint="eastAsia" w:ascii="宋体" w:hAnsi="宋体"/>
          <w:bCs/>
          <w:sz w:val="36"/>
          <w:szCs w:val="36"/>
        </w:rPr>
      </w:pPr>
      <w:r>
        <w:rPr>
          <w:rFonts w:hint="eastAsia" w:ascii="宋体" w:hAnsi="宋体"/>
          <w:bCs/>
          <w:sz w:val="36"/>
          <w:szCs w:val="36"/>
        </w:rPr>
        <w:t>九、其他重要事项情况说明</w:t>
      </w:r>
    </w:p>
    <w:p>
      <w:pPr>
        <w:spacing w:line="550" w:lineRule="exact"/>
        <w:rPr>
          <w:rFonts w:hint="eastAsia" w:ascii="宋体" w:hAnsi="宋体"/>
          <w:b/>
          <w:sz w:val="36"/>
          <w:szCs w:val="36"/>
        </w:rPr>
      </w:pPr>
      <w:r>
        <w:rPr>
          <w:rFonts w:hint="eastAsia" w:ascii="宋体" w:hAnsi="宋体"/>
          <w:b/>
          <w:sz w:val="36"/>
          <w:szCs w:val="36"/>
        </w:rPr>
        <w:t>第四部分  名词解释</w:t>
      </w:r>
    </w:p>
    <w:p>
      <w:pPr>
        <w:spacing w:line="550" w:lineRule="exact"/>
        <w:rPr>
          <w:rFonts w:hint="eastAsia" w:ascii="宋体" w:hAnsi="宋体"/>
          <w:b/>
          <w:sz w:val="36"/>
          <w:szCs w:val="36"/>
        </w:rPr>
      </w:pPr>
      <w:r>
        <w:rPr>
          <w:rFonts w:hint="eastAsia" w:ascii="宋体" w:hAnsi="宋体"/>
          <w:b/>
          <w:sz w:val="36"/>
          <w:szCs w:val="36"/>
        </w:rPr>
        <w:t>第</w:t>
      </w:r>
      <w:r>
        <w:rPr>
          <w:rFonts w:hint="eastAsia" w:ascii="宋体" w:hAnsi="宋体"/>
          <w:b/>
          <w:sz w:val="36"/>
          <w:szCs w:val="36"/>
          <w:lang w:eastAsia="zh-CN"/>
        </w:rPr>
        <w:t>五</w:t>
      </w:r>
      <w:r>
        <w:rPr>
          <w:rFonts w:hint="eastAsia" w:ascii="宋体" w:hAnsi="宋体"/>
          <w:b/>
          <w:sz w:val="36"/>
          <w:szCs w:val="36"/>
        </w:rPr>
        <w:t xml:space="preserve">部分 </w:t>
      </w:r>
      <w:r>
        <w:rPr>
          <w:rFonts w:hint="eastAsia" w:ascii="宋体" w:hAnsi="宋体"/>
          <w:b/>
          <w:sz w:val="36"/>
          <w:szCs w:val="36"/>
          <w:lang w:val="en-US" w:eastAsia="zh-CN"/>
        </w:rPr>
        <w:t xml:space="preserve"> </w:t>
      </w:r>
      <w:r>
        <w:rPr>
          <w:rFonts w:hint="eastAsia" w:ascii="宋体" w:hAnsi="宋体"/>
          <w:b/>
          <w:sz w:val="36"/>
          <w:szCs w:val="36"/>
          <w:lang w:eastAsia="zh-CN"/>
        </w:rPr>
        <w:t>附件</w:t>
      </w:r>
    </w:p>
    <w:p>
      <w:pPr>
        <w:spacing w:line="550" w:lineRule="exact"/>
        <w:rPr>
          <w:rFonts w:hint="eastAsia" w:ascii="宋体" w:hAnsi="宋体"/>
          <w:b/>
          <w:sz w:val="36"/>
          <w:szCs w:val="36"/>
        </w:rPr>
      </w:pPr>
    </w:p>
    <w:p>
      <w:pPr>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firstLine="708" w:firstLineChars="200"/>
        <w:jc w:val="left"/>
        <w:textAlignment w:val="auto"/>
        <w:rPr>
          <w:rFonts w:hint="eastAsia" w:ascii="黑体" w:hAnsi="黑体" w:eastAsia="黑体"/>
          <w:sz w:val="36"/>
          <w:szCs w:val="36"/>
        </w:rPr>
      </w:pPr>
      <w:r>
        <w:rPr>
          <w:rFonts w:hint="eastAsia" w:ascii="宋体" w:hAnsi="宋体"/>
          <w:b/>
          <w:sz w:val="36"/>
          <w:szCs w:val="36"/>
        </w:rPr>
        <w:br w:type="page"/>
      </w:r>
      <w:r>
        <w:rPr>
          <w:rFonts w:hint="eastAsia" w:ascii="宋体" w:hAnsi="宋体" w:eastAsia="黑体"/>
          <w:b/>
          <w:sz w:val="32"/>
          <w:szCs w:val="32"/>
          <w:lang w:eastAsia="zh-CN"/>
        </w:rPr>
        <w:t>第一部分</w:t>
      </w:r>
      <w:r>
        <w:rPr>
          <w:rFonts w:hint="eastAsia" w:ascii="宋体" w:hAnsi="宋体" w:eastAsia="黑体"/>
          <w:b/>
          <w:sz w:val="32"/>
          <w:szCs w:val="32"/>
          <w:lang w:val="en-US" w:eastAsia="zh-CN"/>
        </w:rPr>
        <w:t xml:space="preserve"> 黄山市</w:t>
      </w:r>
      <w:r>
        <w:rPr>
          <w:rFonts w:hint="eastAsia" w:ascii="宋体" w:hAnsi="宋体" w:eastAsia="黑体"/>
          <w:b/>
          <w:sz w:val="32"/>
          <w:szCs w:val="32"/>
          <w:lang w:eastAsia="zh-CN"/>
        </w:rPr>
        <w:t>人民政府办公室概况</w:t>
      </w:r>
    </w:p>
    <w:p>
      <w:pPr>
        <w:ind w:firstLine="628" w:firstLineChars="200"/>
        <w:rPr>
          <w:rFonts w:hint="eastAsia" w:ascii="黑体" w:hAnsi="黑体" w:eastAsia="黑体"/>
          <w:szCs w:val="32"/>
        </w:rPr>
      </w:pPr>
      <w:r>
        <w:rPr>
          <w:rFonts w:hint="eastAsia" w:ascii="黑体" w:hAnsi="黑体" w:eastAsia="黑体"/>
          <w:szCs w:val="32"/>
        </w:rPr>
        <w:t>一、</w:t>
      </w:r>
      <w:r>
        <w:rPr>
          <w:rFonts w:hint="eastAsia" w:ascii="黑体" w:hAnsi="黑体" w:eastAsia="黑体"/>
          <w:szCs w:val="32"/>
          <w:lang w:eastAsia="zh-CN"/>
        </w:rPr>
        <w:t>主要</w:t>
      </w:r>
      <w:r>
        <w:rPr>
          <w:rFonts w:hint="eastAsia" w:ascii="黑体" w:hAnsi="黑体" w:eastAsia="黑体"/>
          <w:szCs w:val="32"/>
        </w:rPr>
        <w:t>职责</w:t>
      </w:r>
    </w:p>
    <w:p>
      <w:pPr>
        <w:pStyle w:val="11"/>
        <w:rPr>
          <w:rFonts w:hint="eastAsia"/>
        </w:rPr>
      </w:pPr>
      <w:r>
        <w:rPr>
          <w:rFonts w:hint="eastAsia"/>
        </w:rPr>
        <w:t>根据《关于印发</w:t>
      </w:r>
      <w:r>
        <w:rPr>
          <w:rFonts w:hint="eastAsia"/>
          <w:lang w:eastAsia="zh-CN"/>
        </w:rPr>
        <w:t>黄山市人民政府办公室</w:t>
      </w:r>
      <w:r>
        <w:rPr>
          <w:rFonts w:hint="eastAsia"/>
        </w:rPr>
        <w:t>主要职责内设机构和人员编制规定的通知》文件规定，黄山市</w:t>
      </w:r>
      <w:r>
        <w:rPr>
          <w:rFonts w:hint="eastAsia"/>
          <w:lang w:eastAsia="zh-CN"/>
        </w:rPr>
        <w:t>政府办</w:t>
      </w:r>
      <w:r>
        <w:rPr>
          <w:rFonts w:hint="eastAsia"/>
        </w:rPr>
        <w:t>主要职责是：</w:t>
      </w:r>
    </w:p>
    <w:p>
      <w:pPr>
        <w:pStyle w:val="11"/>
        <w:rPr>
          <w:rFonts w:hint="eastAsia"/>
        </w:rPr>
      </w:pPr>
      <w:r>
        <w:rPr>
          <w:rFonts w:hint="eastAsia"/>
        </w:rPr>
        <w:t>1．负责市政府会议的准备工作，协助市政府领导组织实施会议决定事项。</w:t>
      </w:r>
    </w:p>
    <w:p>
      <w:pPr>
        <w:pStyle w:val="11"/>
        <w:rPr>
          <w:rFonts w:hint="eastAsia"/>
        </w:rPr>
      </w:pPr>
      <w:r>
        <w:rPr>
          <w:rFonts w:hint="eastAsia"/>
        </w:rPr>
        <w:t>2．协助市政府领导组织起草或审核以市政府、市政府办公室名义发布的公文以及其他综合性材料，办理省政府和上级机关以及不相隶属机关的来文来电工作。</w:t>
      </w:r>
    </w:p>
    <w:p>
      <w:pPr>
        <w:pStyle w:val="11"/>
        <w:rPr>
          <w:rFonts w:hint="eastAsia"/>
        </w:rPr>
      </w:pPr>
      <w:r>
        <w:rPr>
          <w:rFonts w:hint="eastAsia"/>
        </w:rPr>
        <w:t xml:space="preserve">3．研究区县人民政府和市政府各部门请示市政府的事项，提出审核意见，报市政府领导审批。 </w:t>
      </w:r>
    </w:p>
    <w:p>
      <w:pPr>
        <w:pStyle w:val="11"/>
        <w:rPr>
          <w:rFonts w:hint="eastAsia"/>
        </w:rPr>
      </w:pPr>
      <w:r>
        <w:rPr>
          <w:rFonts w:hint="eastAsia"/>
        </w:rPr>
        <w:t>4．督促检查区县人民政府和市政府各部门对市政府决定事项及市领导指示的贯彻落实情况，及时向市领导报告；负责政府目标绩效管理工作的牵头、协调等工作。</w:t>
      </w:r>
    </w:p>
    <w:p>
      <w:pPr>
        <w:pStyle w:val="11"/>
        <w:rPr>
          <w:rFonts w:hint="eastAsia"/>
        </w:rPr>
      </w:pPr>
      <w:r>
        <w:rPr>
          <w:rFonts w:hint="eastAsia"/>
        </w:rPr>
        <w:t>5．负责市政府领导同志重要活动的组织安排工作。</w:t>
      </w:r>
    </w:p>
    <w:p>
      <w:pPr>
        <w:pStyle w:val="11"/>
        <w:rPr>
          <w:rFonts w:hint="eastAsia"/>
        </w:rPr>
      </w:pPr>
      <w:r>
        <w:rPr>
          <w:rFonts w:hint="eastAsia"/>
        </w:rPr>
        <w:t>6．负责开展人民建议征集办理工作。牵头承办人大代表建议、政协提案的办理工作。</w:t>
      </w:r>
    </w:p>
    <w:p>
      <w:pPr>
        <w:pStyle w:val="11"/>
        <w:rPr>
          <w:rFonts w:hint="eastAsia"/>
        </w:rPr>
      </w:pPr>
      <w:r>
        <w:rPr>
          <w:rFonts w:hint="eastAsia"/>
        </w:rPr>
        <w:t>7．负责市政府及市政府办公室值班和电话传真工作。</w:t>
      </w:r>
    </w:p>
    <w:p>
      <w:pPr>
        <w:pStyle w:val="11"/>
        <w:rPr>
          <w:rFonts w:hint="eastAsia"/>
        </w:rPr>
      </w:pPr>
      <w:r>
        <w:rPr>
          <w:rFonts w:hint="eastAsia"/>
        </w:rPr>
        <w:t>8．根据市政府工作部署和市政府领导的指示，组织专题调查研究，搜集整理信息，及时准确地向市政府领导反映情况，提出建议；负责政务信息编发和信息调研分析。</w:t>
      </w:r>
    </w:p>
    <w:p>
      <w:pPr>
        <w:pStyle w:val="11"/>
        <w:rPr>
          <w:rFonts w:hint="eastAsia"/>
        </w:rPr>
      </w:pPr>
      <w:r>
        <w:rPr>
          <w:rFonts w:hint="eastAsia"/>
        </w:rPr>
        <w:t>9．负责市政府驻外办事机构（联络处）的工作联系。</w:t>
      </w:r>
    </w:p>
    <w:p>
      <w:pPr>
        <w:pStyle w:val="11"/>
        <w:rPr>
          <w:rFonts w:hint="eastAsia" w:eastAsia="仿宋_GB2312"/>
          <w:lang w:eastAsia="zh-CN"/>
        </w:rPr>
      </w:pPr>
      <w:r>
        <w:rPr>
          <w:rFonts w:hint="eastAsia"/>
        </w:rPr>
        <w:t>10.负责组织协调和监督全市政府信息公开；负责发布市政府规章和规范性文件，协调解读重大政策及相关信息；负责市政府公报的编辑、发送、宣传、利用等工作；负责统筹推进和监督协调市政务服务热线平台建设管理工作</w:t>
      </w:r>
      <w:r>
        <w:rPr>
          <w:rFonts w:hint="eastAsia"/>
          <w:lang w:eastAsia="zh-CN"/>
        </w:rPr>
        <w:t>。</w:t>
      </w:r>
    </w:p>
    <w:p>
      <w:pPr>
        <w:pStyle w:val="11"/>
        <w:rPr>
          <w:rFonts w:hint="eastAsia"/>
        </w:rPr>
      </w:pPr>
      <w:r>
        <w:rPr>
          <w:rFonts w:hint="eastAsia"/>
        </w:rPr>
        <w:t>11.统筹研究全市推进政府职能转变和“放管服”改革重要领域、关键环节的政策措施，分析有关重大问题并提出政策建议；监督检查营商环境建设情况，开展营商环境监测评价；统筹推进行政审批制度改革工作，督促区县人民政府和市直有关部门落实改革举措；承担市推进政府职能转变和“放管服”改革协调小组办公室和市“四送一服”双千工程领导小组办公室的日常工作。</w:t>
      </w:r>
    </w:p>
    <w:p>
      <w:pPr>
        <w:pStyle w:val="11"/>
        <w:rPr>
          <w:rFonts w:hint="eastAsia" w:eastAsia="仿宋_GB2312"/>
          <w:lang w:eastAsia="zh-CN"/>
        </w:rPr>
      </w:pPr>
      <w:r>
        <w:rPr>
          <w:rFonts w:hint="eastAsia"/>
        </w:rPr>
        <w:t>12.</w:t>
      </w:r>
      <w:r>
        <w:rPr>
          <w:rFonts w:hint="eastAsia"/>
          <w:lang w:eastAsia="zh-CN"/>
        </w:rPr>
        <w:t>协同省试验区建设推进处对上争取、两省协调有关事项，负责统筹黄山市推动新安江—千岛湖生态补偿试验区建设日常工作，组织拟订和实施相关规划、政策和工作计划，组织开展相关重大问题研究、协调推进和督促落实生态补偿试验区建设任务，承担黄山市推动新安江—千岛湖生态补偿试验区建设领导小组综合办公室日常工作。</w:t>
      </w:r>
    </w:p>
    <w:p>
      <w:pPr>
        <w:ind w:firstLine="628" w:firstLineChars="200"/>
        <w:rPr>
          <w:rFonts w:hint="eastAsia" w:ascii="黑体" w:hAnsi="黑体" w:eastAsia="黑体"/>
          <w:szCs w:val="32"/>
        </w:rPr>
      </w:pPr>
      <w:r>
        <w:rPr>
          <w:rFonts w:hint="eastAsia"/>
          <w:lang w:val="en-US" w:eastAsia="zh-CN"/>
        </w:rPr>
        <w:t>13.</w:t>
      </w:r>
      <w:r>
        <w:rPr>
          <w:rFonts w:hint="eastAsia"/>
        </w:rPr>
        <w:t>办理市政府和市政府领导同志交办的其他事项。</w:t>
      </w:r>
    </w:p>
    <w:p>
      <w:pPr>
        <w:ind w:firstLine="628" w:firstLineChars="200"/>
        <w:rPr>
          <w:rFonts w:hint="eastAsia" w:ascii="黑体" w:hAnsi="黑体" w:eastAsia="黑体"/>
          <w:szCs w:val="32"/>
        </w:rPr>
      </w:pPr>
      <w:r>
        <w:rPr>
          <w:rFonts w:hint="eastAsia" w:ascii="黑体" w:hAnsi="黑体" w:eastAsia="黑体"/>
          <w:szCs w:val="32"/>
        </w:rPr>
        <w:t>二、机构设置</w:t>
      </w:r>
    </w:p>
    <w:p>
      <w:pPr>
        <w:ind w:firstLine="628" w:firstLineChars="200"/>
        <w:rPr>
          <w:rFonts w:hint="eastAsia" w:ascii="仿宋_GB2312" w:hAnsi="仿宋" w:eastAsia="仿宋_GB2312"/>
          <w:color w:val="auto"/>
          <w:sz w:val="32"/>
          <w:szCs w:val="32"/>
        </w:rPr>
      </w:pPr>
      <w:r>
        <w:rPr>
          <w:rFonts w:hint="eastAsia" w:ascii="仿宋_GB2312" w:hAnsi="仿宋"/>
          <w:color w:val="auto"/>
          <w:szCs w:val="32"/>
          <w:lang w:eastAsia="zh-CN"/>
        </w:rPr>
        <w:t>从决算</w:t>
      </w:r>
      <w:r>
        <w:rPr>
          <w:rFonts w:hint="eastAsia" w:ascii="仿宋_GB2312" w:hAnsi="仿宋" w:eastAsia="仿宋_GB2312"/>
          <w:sz w:val="32"/>
          <w:szCs w:val="32"/>
        </w:rPr>
        <w:t>单位构成看，</w:t>
      </w:r>
      <w:r>
        <w:rPr>
          <w:rFonts w:hint="eastAsia" w:ascii="仿宋_GB2312" w:hAnsi="仿宋"/>
          <w:sz w:val="32"/>
          <w:szCs w:val="32"/>
          <w:lang w:val="en-US" w:eastAsia="zh-CN"/>
        </w:rPr>
        <w:t>黄山市</w:t>
      </w:r>
      <w:r>
        <w:rPr>
          <w:rFonts w:hint="eastAsia" w:ascii="仿宋_GB2312" w:hAnsi="仿宋" w:cs="仿宋"/>
          <w:bCs/>
          <w:sz w:val="32"/>
          <w:szCs w:val="32"/>
          <w:lang w:eastAsia="zh-CN"/>
        </w:rPr>
        <w:t>人民政府办公室</w:t>
      </w:r>
      <w:r>
        <w:rPr>
          <w:rFonts w:ascii="仿宋_GB2312" w:hAnsi="仿宋" w:eastAsia="仿宋_GB2312"/>
          <w:sz w:val="32"/>
          <w:szCs w:val="32"/>
        </w:rPr>
        <w:t>202</w:t>
      </w:r>
      <w:r>
        <w:rPr>
          <w:rFonts w:hint="eastAsia" w:ascii="仿宋_GB2312" w:hAnsi="仿宋"/>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color w:val="auto"/>
          <w:sz w:val="32"/>
          <w:szCs w:val="32"/>
        </w:rPr>
        <w:t>度部门</w:t>
      </w:r>
      <w:r>
        <w:rPr>
          <w:rFonts w:hint="eastAsia" w:ascii="仿宋_GB2312" w:hAnsi="仿宋"/>
          <w:color w:val="auto"/>
          <w:szCs w:val="32"/>
          <w:lang w:eastAsia="zh-CN"/>
        </w:rPr>
        <w:t>决算</w:t>
      </w:r>
      <w:r>
        <w:rPr>
          <w:rFonts w:hint="eastAsia" w:ascii="仿宋_GB2312" w:hAnsi="仿宋" w:eastAsia="仿宋_GB2312"/>
          <w:color w:val="auto"/>
          <w:sz w:val="32"/>
          <w:szCs w:val="32"/>
        </w:rPr>
        <w:t>仅包括</w:t>
      </w:r>
      <w:r>
        <w:rPr>
          <w:rFonts w:hint="eastAsia" w:ascii="仿宋_GB2312" w:hAnsi="仿宋"/>
          <w:color w:val="auto"/>
          <w:sz w:val="32"/>
          <w:szCs w:val="32"/>
          <w:lang w:eastAsia="zh-CN"/>
        </w:rPr>
        <w:t>政府办</w:t>
      </w:r>
      <w:r>
        <w:rPr>
          <w:rFonts w:hint="eastAsia" w:ascii="仿宋_GB2312" w:hAnsi="仿宋" w:eastAsia="仿宋_GB2312"/>
          <w:sz w:val="32"/>
          <w:szCs w:val="32"/>
        </w:rPr>
        <w:t>本</w:t>
      </w:r>
      <w:r>
        <w:rPr>
          <w:rFonts w:hint="eastAsia" w:ascii="仿宋_GB2312" w:hAnsi="仿宋" w:eastAsia="仿宋_GB2312"/>
          <w:color w:val="auto"/>
          <w:sz w:val="32"/>
          <w:szCs w:val="32"/>
        </w:rPr>
        <w:t>级</w:t>
      </w:r>
      <w:r>
        <w:rPr>
          <w:rFonts w:hint="eastAsia" w:ascii="仿宋_GB2312" w:hAnsi="仿宋"/>
          <w:color w:val="auto"/>
          <w:szCs w:val="32"/>
          <w:lang w:eastAsia="zh-CN"/>
        </w:rPr>
        <w:t>决算</w:t>
      </w:r>
      <w:r>
        <w:rPr>
          <w:rFonts w:hint="eastAsia" w:ascii="仿宋_GB2312" w:hAnsi="仿宋" w:eastAsia="仿宋_GB2312"/>
          <w:color w:val="auto"/>
          <w:sz w:val="32"/>
          <w:szCs w:val="32"/>
        </w:rPr>
        <w:t>，无其他下属单位</w:t>
      </w:r>
      <w:r>
        <w:rPr>
          <w:rFonts w:hint="eastAsia" w:ascii="仿宋_GB2312" w:hAnsi="仿宋"/>
          <w:color w:val="auto"/>
          <w:szCs w:val="32"/>
          <w:lang w:eastAsia="zh-CN"/>
        </w:rPr>
        <w:t>决算</w:t>
      </w:r>
      <w:r>
        <w:rPr>
          <w:rFonts w:hint="eastAsia" w:ascii="仿宋_GB2312" w:hAnsi="仿宋" w:eastAsia="仿宋_GB2312"/>
          <w:color w:val="auto"/>
          <w:sz w:val="32"/>
          <w:szCs w:val="32"/>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969"/>
        <w:gridCol w:w="4033"/>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4" w:hRule="atLeast"/>
        </w:trPr>
        <w:tc>
          <w:tcPr>
            <w:tcW w:w="1969" w:type="dxa"/>
            <w:vAlign w:val="center"/>
          </w:tcPr>
          <w:p>
            <w:pPr>
              <w:keepNext w:val="0"/>
              <w:keepLines w:val="0"/>
              <w:widowControl/>
              <w:suppressLineNumbers w:val="0"/>
              <w:ind w:left="0" w:leftChars="0" w:firstLine="0" w:firstLineChars="0"/>
              <w:jc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caps w:val="0"/>
                <w:color w:val="auto"/>
                <w:spacing w:val="0"/>
                <w:kern w:val="0"/>
                <w:sz w:val="32"/>
                <w:szCs w:val="32"/>
                <w:lang w:val="en-US" w:eastAsia="zh-CN" w:bidi="ar"/>
              </w:rPr>
              <w:t>序号</w:t>
            </w:r>
          </w:p>
        </w:tc>
        <w:tc>
          <w:tcPr>
            <w:tcW w:w="4033" w:type="dxa"/>
            <w:vAlign w:val="center"/>
          </w:tcPr>
          <w:p>
            <w:pPr>
              <w:keepNext w:val="0"/>
              <w:keepLines w:val="0"/>
              <w:widowControl/>
              <w:suppressLineNumbers w:val="0"/>
              <w:ind w:left="0" w:leftChars="0" w:firstLine="0" w:firstLineChars="0"/>
              <w:jc w:val="center"/>
              <w:rPr>
                <w:rFonts w:hint="eastAsia" w:ascii="仿宋" w:hAnsi="仿宋" w:eastAsia="仿宋" w:cs="仿宋"/>
                <w:color w:val="auto"/>
                <w:sz w:val="32"/>
                <w:szCs w:val="32"/>
                <w:vertAlign w:val="baseline"/>
              </w:rPr>
            </w:pPr>
            <w:r>
              <w:rPr>
                <w:rFonts w:hint="eastAsia" w:ascii="仿宋" w:hAnsi="仿宋" w:eastAsia="仿宋" w:cs="仿宋"/>
                <w:i w:val="0"/>
                <w:caps w:val="0"/>
                <w:color w:val="auto"/>
                <w:spacing w:val="0"/>
                <w:kern w:val="0"/>
                <w:sz w:val="32"/>
                <w:szCs w:val="32"/>
                <w:lang w:val="en-US" w:eastAsia="zh-CN" w:bidi="ar"/>
              </w:rPr>
              <w:t>单位名称</w:t>
            </w:r>
          </w:p>
        </w:tc>
        <w:tc>
          <w:tcPr>
            <w:tcW w:w="3002" w:type="dxa"/>
            <w:vAlign w:val="center"/>
          </w:tcPr>
          <w:p>
            <w:pPr>
              <w:keepNext w:val="0"/>
              <w:keepLines w:val="0"/>
              <w:widowControl/>
              <w:suppressLineNumbers w:val="0"/>
              <w:ind w:left="0" w:leftChars="0" w:firstLine="0" w:firstLineChars="0"/>
              <w:jc w:val="center"/>
              <w:rPr>
                <w:rFonts w:hint="eastAsia" w:ascii="仿宋" w:hAnsi="仿宋" w:eastAsia="仿宋" w:cs="仿宋"/>
                <w:color w:val="auto"/>
                <w:sz w:val="32"/>
                <w:szCs w:val="32"/>
                <w:vertAlign w:val="baseline"/>
              </w:rPr>
            </w:pPr>
            <w:r>
              <w:rPr>
                <w:rFonts w:hint="eastAsia" w:ascii="仿宋" w:hAnsi="仿宋" w:eastAsia="仿宋" w:cs="仿宋"/>
                <w:i w:val="0"/>
                <w:caps w:val="0"/>
                <w:color w:val="auto"/>
                <w:spacing w:val="0"/>
                <w:kern w:val="0"/>
                <w:sz w:val="32"/>
                <w:szCs w:val="32"/>
                <w:lang w:val="en-US" w:eastAsia="zh-CN" w:bidi="ar"/>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8" w:hRule="atLeast"/>
        </w:trPr>
        <w:tc>
          <w:tcPr>
            <w:tcW w:w="1969" w:type="dxa"/>
            <w:vAlign w:val="center"/>
          </w:tcPr>
          <w:p>
            <w:pPr>
              <w:keepNext w:val="0"/>
              <w:keepLines w:val="0"/>
              <w:widowControl/>
              <w:suppressLineNumbers w:val="0"/>
              <w:ind w:left="0" w:leftChars="0" w:firstLine="0" w:firstLineChars="0"/>
              <w:jc w:val="center"/>
              <w:rPr>
                <w:rFonts w:hint="eastAsia" w:ascii="仿宋" w:hAnsi="仿宋" w:eastAsia="仿宋" w:cs="仿宋"/>
                <w:color w:val="auto"/>
                <w:sz w:val="32"/>
                <w:szCs w:val="32"/>
                <w:vertAlign w:val="baseline"/>
              </w:rPr>
            </w:pPr>
            <w:r>
              <w:rPr>
                <w:rFonts w:hint="eastAsia" w:ascii="仿宋" w:hAnsi="仿宋" w:eastAsia="仿宋" w:cs="仿宋"/>
                <w:i w:val="0"/>
                <w:caps w:val="0"/>
                <w:color w:val="auto"/>
                <w:spacing w:val="0"/>
                <w:kern w:val="0"/>
                <w:sz w:val="32"/>
                <w:szCs w:val="32"/>
                <w:lang w:val="en-US" w:eastAsia="zh-CN" w:bidi="ar"/>
              </w:rPr>
              <w:t>1</w:t>
            </w:r>
          </w:p>
        </w:tc>
        <w:tc>
          <w:tcPr>
            <w:tcW w:w="4033" w:type="dxa"/>
            <w:vAlign w:val="center"/>
          </w:tcPr>
          <w:p>
            <w:pPr>
              <w:keepNext w:val="0"/>
              <w:keepLines w:val="0"/>
              <w:widowControl/>
              <w:suppressLineNumbers w:val="0"/>
              <w:ind w:left="0" w:leftChars="0" w:firstLine="0" w:firstLineChars="0"/>
              <w:jc w:val="center"/>
              <w:rPr>
                <w:rFonts w:hint="eastAsia" w:ascii="仿宋" w:hAnsi="仿宋" w:eastAsia="仿宋" w:cs="仿宋"/>
                <w:color w:val="auto"/>
                <w:sz w:val="32"/>
                <w:szCs w:val="32"/>
                <w:vertAlign w:val="baseline"/>
              </w:rPr>
            </w:pPr>
            <w:r>
              <w:rPr>
                <w:rFonts w:hint="eastAsia" w:ascii="仿宋" w:hAnsi="仿宋" w:eastAsia="仿宋" w:cs="仿宋"/>
                <w:i w:val="0"/>
                <w:caps w:val="0"/>
                <w:color w:val="auto"/>
                <w:spacing w:val="0"/>
                <w:kern w:val="0"/>
                <w:sz w:val="32"/>
                <w:szCs w:val="32"/>
                <w:lang w:val="en-US" w:eastAsia="zh-CN" w:bidi="ar"/>
              </w:rPr>
              <w:t>黄山市人民政府办公室</w:t>
            </w:r>
          </w:p>
        </w:tc>
        <w:tc>
          <w:tcPr>
            <w:tcW w:w="3002" w:type="dxa"/>
            <w:vAlign w:val="center"/>
          </w:tcPr>
          <w:p>
            <w:pPr>
              <w:keepNext w:val="0"/>
              <w:keepLines w:val="0"/>
              <w:widowControl/>
              <w:suppressLineNumbers w:val="0"/>
              <w:ind w:left="0" w:leftChars="0" w:firstLine="0" w:firstLineChars="0"/>
              <w:jc w:val="center"/>
              <w:rPr>
                <w:rFonts w:hint="eastAsia" w:ascii="仿宋" w:hAnsi="仿宋" w:eastAsia="仿宋" w:cs="仿宋"/>
                <w:color w:val="auto"/>
                <w:sz w:val="32"/>
                <w:szCs w:val="32"/>
                <w:vertAlign w:val="baseline"/>
              </w:rPr>
            </w:pPr>
            <w:r>
              <w:rPr>
                <w:rFonts w:hint="eastAsia" w:ascii="仿宋" w:hAnsi="仿宋" w:eastAsia="仿宋" w:cs="仿宋"/>
                <w:i w:val="0"/>
                <w:caps w:val="0"/>
                <w:color w:val="auto"/>
                <w:spacing w:val="0"/>
                <w:kern w:val="0"/>
                <w:sz w:val="32"/>
                <w:szCs w:val="32"/>
                <w:lang w:val="en-US" w:eastAsia="zh-CN" w:bidi="ar"/>
              </w:rPr>
              <w:t>行政单位</w:t>
            </w:r>
          </w:p>
        </w:tc>
      </w:tr>
    </w:tbl>
    <w:p>
      <w:pPr>
        <w:ind w:firstLine="628" w:firstLineChars="200"/>
        <w:rPr>
          <w:rFonts w:hint="eastAsia" w:ascii="黑体" w:hAnsi="黑体" w:eastAsia="黑体"/>
          <w:b/>
          <w:bCs/>
          <w:szCs w:val="32"/>
        </w:rPr>
      </w:pPr>
      <w:bookmarkStart w:id="0" w:name="_GoBack"/>
      <w:bookmarkEnd w:id="0"/>
      <w:r>
        <w:rPr>
          <w:rFonts w:hint="eastAsia" w:ascii="黑体" w:hAnsi="黑体" w:eastAsia="黑体"/>
          <w:b/>
          <w:bCs/>
          <w:szCs w:val="32"/>
        </w:rPr>
        <w:t xml:space="preserve">第二部分 </w:t>
      </w:r>
      <w:r>
        <w:rPr>
          <w:rFonts w:hint="eastAsia" w:ascii="黑体" w:hAnsi="黑体" w:eastAsia="黑体"/>
          <w:b/>
          <w:bCs/>
          <w:szCs w:val="32"/>
          <w:lang w:val="en-US" w:eastAsia="zh-CN"/>
        </w:rPr>
        <w:t>黄山市</w:t>
      </w:r>
      <w:r>
        <w:rPr>
          <w:rFonts w:hint="eastAsia" w:ascii="黑体" w:hAnsi="黑体" w:eastAsia="黑体"/>
          <w:b/>
          <w:bCs/>
          <w:szCs w:val="32"/>
          <w:lang w:eastAsia="zh-CN"/>
        </w:rPr>
        <w:t>人民政府办公室2021</w:t>
      </w:r>
      <w:r>
        <w:rPr>
          <w:rFonts w:hint="eastAsia" w:ascii="黑体" w:hAnsi="黑体" w:eastAsia="黑体"/>
          <w:b/>
          <w:bCs/>
          <w:szCs w:val="32"/>
        </w:rPr>
        <w:t>年</w:t>
      </w:r>
      <w:r>
        <w:rPr>
          <w:rFonts w:hint="eastAsia" w:ascii="黑体" w:hAnsi="黑体" w:eastAsia="黑体"/>
          <w:b/>
          <w:bCs/>
          <w:color w:val="auto"/>
          <w:szCs w:val="32"/>
        </w:rPr>
        <w:t>度</w:t>
      </w:r>
      <w:r>
        <w:rPr>
          <w:rFonts w:hint="eastAsia" w:ascii="黑体" w:hAnsi="黑体" w:eastAsia="黑体"/>
          <w:b/>
          <w:bCs/>
          <w:szCs w:val="32"/>
          <w:lang w:eastAsia="zh-CN"/>
        </w:rPr>
        <w:t>部门</w:t>
      </w:r>
      <w:r>
        <w:rPr>
          <w:rFonts w:hint="eastAsia" w:ascii="黑体" w:hAnsi="黑体" w:eastAsia="黑体"/>
          <w:b/>
          <w:bCs/>
          <w:szCs w:val="32"/>
        </w:rPr>
        <w:t>决算表</w:t>
      </w:r>
    </w:p>
    <w:p>
      <w:pPr>
        <w:ind w:left="0" w:leftChars="0" w:firstLine="0" w:firstLineChars="0"/>
        <w:rPr>
          <w:rFonts w:hint="eastAsia" w:ascii="黑体" w:hAnsi="黑体" w:eastAsia="黑体"/>
          <w:szCs w:val="32"/>
        </w:rPr>
      </w:pPr>
      <w:r>
        <w:rPr>
          <w:rFonts w:hint="eastAsia" w:ascii="黑体" w:hAnsi="黑体" w:eastAsia="黑体"/>
          <w:szCs w:val="32"/>
        </w:rPr>
        <w:object>
          <v:shape id="_x0000_i1025" o:spt="75" type="#_x0000_t75" style="height:636.5pt;width:466.85pt;" o:ole="t" filled="f" o:preferrelative="t" stroked="f" coordsize="21600,21600">
            <v:path/>
            <v:fill on="f" focussize="0,0"/>
            <v:stroke on="f"/>
            <v:imagedata r:id="rId7" o:title=""/>
            <o:lock v:ext="edit" aspectratio="f"/>
            <w10:wrap type="none"/>
            <w10:anchorlock/>
          </v:shape>
          <o:OLEObject Type="Embed" ProgID="Excel.Sheet.12" ShapeID="_x0000_i1025" DrawAspect="Content" ObjectID="_1468075725" r:id="rId6">
            <o:LockedField>false</o:LockedField>
          </o:OLEObject>
        </w:object>
      </w:r>
      <w:r>
        <w:rPr>
          <w:rFonts w:hint="eastAsia" w:ascii="黑体" w:hAnsi="黑体" w:eastAsia="黑体"/>
          <w:szCs w:val="32"/>
        </w:rPr>
        <w:object>
          <v:shape id="_x0000_i1026" o:spt="75" type="#_x0000_t75" style="height:650pt;width:458.85pt;" o:ole="t" filled="f" o:preferrelative="t" stroked="f" coordsize="21600,21600">
            <v:path/>
            <v:fill on="f" focussize="0,0"/>
            <v:stroke on="f"/>
            <v:imagedata r:id="rId9" o:title=""/>
            <o:lock v:ext="edit" aspectratio="f"/>
            <w10:wrap type="none"/>
            <w10:anchorlock/>
          </v:shape>
          <o:OLEObject Type="Embed" ProgID="Excel.Sheet.12" ShapeID="_x0000_i1026" DrawAspect="Content" ObjectID="_1468075726" r:id="rId8">
            <o:LockedField>false</o:LockedField>
          </o:OLEObject>
        </w:object>
      </w:r>
      <w:r>
        <w:rPr>
          <w:rFonts w:hint="eastAsia" w:ascii="黑体" w:hAnsi="黑体" w:eastAsia="黑体"/>
          <w:szCs w:val="32"/>
        </w:rPr>
        <w:object>
          <v:shape id="_x0000_i1027" o:spt="75" type="#_x0000_t75" style="height:632.35pt;width:477.95pt;" o:ole="t" filled="f" o:preferrelative="t" stroked="f" coordsize="21600,21600">
            <v:path/>
            <v:fill on="f" focussize="0,0"/>
            <v:stroke on="f"/>
            <v:imagedata r:id="rId11" o:title=""/>
            <o:lock v:ext="edit" aspectratio="f"/>
            <w10:wrap type="none"/>
            <w10:anchorlock/>
          </v:shape>
          <o:OLEObject Type="Embed" ProgID="Excel.Sheet.12" ShapeID="_x0000_i1027" DrawAspect="Content" ObjectID="_1468075727" r:id="rId10">
            <o:LockedField>false</o:LockedField>
          </o:OLEObject>
        </w:object>
      </w:r>
      <w:r>
        <w:rPr>
          <w:rFonts w:hint="eastAsia" w:ascii="黑体" w:hAnsi="黑体" w:eastAsia="黑体"/>
          <w:szCs w:val="32"/>
        </w:rPr>
        <w:object>
          <v:shape id="_x0000_i1028" o:spt="75" type="#_x0000_t75" style="height:638.1pt;width:465.95pt;" o:ole="t" filled="f" o:preferrelative="t" stroked="f" coordsize="21600,21600">
            <v:path/>
            <v:fill on="f" focussize="0,0"/>
            <v:stroke on="f"/>
            <v:imagedata r:id="rId13" o:title=""/>
            <o:lock v:ext="edit" aspectratio="f"/>
            <w10:wrap type="none"/>
            <w10:anchorlock/>
          </v:shape>
          <o:OLEObject Type="Embed" ProgID="Excel.Sheet.12" ShapeID="_x0000_i1028" DrawAspect="Content" ObjectID="_1468075728" r:id="rId12">
            <o:LockedField>false</o:LockedField>
          </o:OLEObject>
        </w:object>
      </w:r>
      <w:r>
        <w:rPr>
          <w:rFonts w:hint="eastAsia" w:ascii="黑体" w:hAnsi="黑体" w:eastAsia="黑体"/>
          <w:szCs w:val="32"/>
        </w:rPr>
        <w:object>
          <v:shape id="_x0000_i1029" o:spt="75" type="#_x0000_t75" style="height:635pt;width:464.75pt;" o:ole="t" filled="f" o:preferrelative="t" stroked="f" coordsize="21600,21600">
            <v:path/>
            <v:fill on="f" focussize="0,0"/>
            <v:stroke on="f"/>
            <v:imagedata r:id="rId15" o:title=""/>
            <o:lock v:ext="edit" aspectratio="f"/>
            <w10:wrap type="none"/>
            <w10:anchorlock/>
          </v:shape>
          <o:OLEObject Type="Embed" ProgID="Excel.Sheet.12" ShapeID="_x0000_i1029" DrawAspect="Content" ObjectID="_1468075729" r:id="rId14">
            <o:LockedField>false</o:LockedField>
          </o:OLEObject>
        </w:object>
      </w:r>
      <w:r>
        <w:rPr>
          <w:rFonts w:hint="eastAsia" w:ascii="黑体" w:hAnsi="黑体" w:eastAsia="黑体"/>
          <w:szCs w:val="32"/>
        </w:rPr>
        <w:object>
          <v:shape id="_x0000_i1030" o:spt="75" type="#_x0000_t75" style="height:643.35pt;width:463.55pt;" o:ole="t" filled="f" o:preferrelative="t" stroked="f" coordsize="21600,21600">
            <v:path/>
            <v:fill on="f" focussize="0,0"/>
            <v:stroke on="f"/>
            <v:imagedata r:id="rId17" o:title=""/>
            <o:lock v:ext="edit" aspectratio="f"/>
            <w10:wrap type="none"/>
            <w10:anchorlock/>
          </v:shape>
          <o:OLEObject Type="Embed" ProgID="Excel.Sheet.12" ShapeID="_x0000_i1030" DrawAspect="Content" ObjectID="_1468075730" r:id="rId16">
            <o:LockedField>false</o:LockedField>
          </o:OLEObject>
        </w:object>
      </w:r>
    </w:p>
    <w:p>
      <w:pPr>
        <w:ind w:left="0" w:leftChars="0" w:firstLine="0" w:firstLineChars="0"/>
        <w:rPr>
          <w:rFonts w:hint="eastAsia" w:ascii="黑体" w:hAnsi="黑体" w:eastAsia="黑体"/>
          <w:szCs w:val="32"/>
        </w:rPr>
      </w:pPr>
      <w:r>
        <w:rPr>
          <w:rFonts w:hint="eastAsia" w:ascii="黑体" w:hAnsi="黑体" w:eastAsia="黑体"/>
          <w:szCs w:val="32"/>
        </w:rPr>
        <w:object>
          <v:shape id="_x0000_i1031" o:spt="75" type="#_x0000_t75" style="height:261.85pt;width:460.35pt;" o:ole="t" filled="f" o:preferrelative="t" stroked="f" coordsize="21600,21600">
            <v:path/>
            <v:fill on="f" focussize="0,0"/>
            <v:stroke on="f"/>
            <v:imagedata r:id="rId19" o:title=""/>
            <o:lock v:ext="edit" aspectratio="f"/>
            <w10:wrap type="none"/>
            <w10:anchorlock/>
          </v:shape>
          <o:OLEObject Type="Embed" ProgID="Excel.Sheet.12" ShapeID="_x0000_i1031" DrawAspect="Content" ObjectID="_1468075731" r:id="rId18">
            <o:LockedField>false</o:LockedField>
          </o:OLEObject>
        </w:object>
      </w:r>
    </w:p>
    <w:p>
      <w:pPr>
        <w:bidi w:val="0"/>
        <w:ind w:left="0" w:leftChars="0" w:firstLine="0" w:firstLineChars="0"/>
        <w:rPr>
          <w:rFonts w:hint="eastAsia" w:ascii="黑体" w:hAnsi="黑体" w:eastAsia="黑体"/>
          <w:szCs w:val="32"/>
        </w:rPr>
      </w:pPr>
      <w:r>
        <w:rPr>
          <w:rFonts w:hint="eastAsia" w:ascii="黑体" w:hAnsi="黑体" w:eastAsia="黑体"/>
          <w:szCs w:val="32"/>
        </w:rPr>
        <w:object>
          <v:shape id="_x0000_i1032" o:spt="75" type="#_x0000_t75" style="height:276.7pt;width:459.9pt;" o:ole="t" filled="f" o:preferrelative="t" stroked="f" coordsize="21600,21600">
            <v:path/>
            <v:fill on="f" focussize="0,0"/>
            <v:stroke on="f"/>
            <v:imagedata r:id="rId21" o:title=""/>
            <o:lock v:ext="edit" aspectratio="f"/>
            <w10:wrap type="none"/>
            <w10:anchorlock/>
          </v:shape>
          <o:OLEObject Type="Embed" ProgID="Excel.Sheet.12" ShapeID="_x0000_i1032" DrawAspect="Content" ObjectID="_1468075732" r:id="rId20">
            <o:LockedField>false</o:LockedField>
          </o:OLEObject>
        </w:object>
      </w:r>
    </w:p>
    <w:p>
      <w:pPr>
        <w:bidi w:val="0"/>
        <w:ind w:left="0" w:leftChars="0" w:firstLine="619" w:firstLineChars="197"/>
        <w:rPr>
          <w:rFonts w:hint="eastAsia" w:ascii="黑体" w:hAnsi="黑体" w:eastAsia="黑体"/>
          <w:b/>
          <w:bCs/>
          <w:szCs w:val="32"/>
        </w:rPr>
      </w:pPr>
      <w:r>
        <w:rPr>
          <w:rFonts w:hint="eastAsia" w:ascii="黑体" w:hAnsi="黑体" w:eastAsia="黑体"/>
          <w:b/>
          <w:bCs/>
          <w:szCs w:val="32"/>
        </w:rPr>
        <w:t xml:space="preserve">第三部分 </w:t>
      </w:r>
      <w:r>
        <w:rPr>
          <w:rFonts w:hint="eastAsia" w:ascii="黑体" w:hAnsi="黑体" w:eastAsia="黑体"/>
          <w:b/>
          <w:bCs/>
          <w:szCs w:val="32"/>
          <w:lang w:val="en-US" w:eastAsia="zh-CN"/>
        </w:rPr>
        <w:t>黄山市</w:t>
      </w:r>
      <w:r>
        <w:rPr>
          <w:rFonts w:hint="eastAsia" w:ascii="黑体" w:hAnsi="黑体" w:eastAsia="黑体"/>
          <w:b/>
          <w:bCs/>
          <w:szCs w:val="32"/>
          <w:lang w:eastAsia="zh-CN"/>
        </w:rPr>
        <w:t>人民政府办公室2021</w:t>
      </w:r>
      <w:r>
        <w:rPr>
          <w:rFonts w:hint="eastAsia" w:ascii="黑体" w:hAnsi="黑体" w:eastAsia="黑体"/>
          <w:b/>
          <w:bCs/>
          <w:szCs w:val="32"/>
        </w:rPr>
        <w:t>年度</w:t>
      </w:r>
      <w:r>
        <w:rPr>
          <w:rFonts w:hint="eastAsia" w:ascii="黑体" w:hAnsi="黑体" w:eastAsia="黑体"/>
          <w:b/>
          <w:bCs/>
          <w:szCs w:val="32"/>
          <w:lang w:eastAsia="zh-CN"/>
        </w:rPr>
        <w:t>部门</w:t>
      </w:r>
      <w:r>
        <w:rPr>
          <w:rFonts w:hint="eastAsia" w:ascii="黑体" w:hAnsi="黑体" w:eastAsia="黑体"/>
          <w:b/>
          <w:bCs/>
          <w:szCs w:val="32"/>
        </w:rPr>
        <w:t>决算情况说明</w:t>
      </w:r>
    </w:p>
    <w:p>
      <w:pPr>
        <w:ind w:firstLine="628" w:firstLineChars="200"/>
        <w:rPr>
          <w:rFonts w:hint="eastAsia" w:ascii="黑体" w:hAnsi="黑体" w:eastAsia="黑体"/>
          <w:szCs w:val="32"/>
        </w:rPr>
      </w:pPr>
      <w:r>
        <w:rPr>
          <w:rFonts w:hint="eastAsia" w:ascii="黑体" w:hAnsi="黑体" w:eastAsia="黑体"/>
          <w:szCs w:val="32"/>
        </w:rPr>
        <w:t>一、收入支出决算总体情况说明</w:t>
      </w:r>
    </w:p>
    <w:p>
      <w:pPr>
        <w:ind w:firstLine="628"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color w:val="auto"/>
          <w:szCs w:val="32"/>
        </w:rPr>
        <w:t>年度收入总计2338.36万元（含使用非财政拨款结转结余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结余）、支出总计2338.36万元（含结余分配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szCs w:val="32"/>
          <w:lang w:eastAsia="zh-CN"/>
        </w:rPr>
        <w:t>0</w:t>
      </w:r>
      <w:r>
        <w:rPr>
          <w:rFonts w:hint="eastAsia" w:ascii="仿宋_GB2312" w:hAnsi="仿宋"/>
          <w:szCs w:val="32"/>
        </w:rPr>
        <w:t>年相比，收、支总计各减少</w:t>
      </w:r>
      <w:r>
        <w:rPr>
          <w:rFonts w:hint="eastAsia" w:ascii="仿宋_GB2312" w:hAnsi="仿宋"/>
          <w:szCs w:val="32"/>
          <w:lang w:val="en-US" w:eastAsia="zh-CN"/>
        </w:rPr>
        <w:t>11.46</w:t>
      </w:r>
      <w:r>
        <w:rPr>
          <w:rFonts w:hint="eastAsia" w:ascii="仿宋_GB2312" w:hAnsi="仿宋"/>
          <w:szCs w:val="32"/>
        </w:rPr>
        <w:t>万元，下降</w:t>
      </w:r>
      <w:r>
        <w:rPr>
          <w:rFonts w:hint="eastAsia" w:ascii="仿宋_GB2312" w:hAnsi="仿宋"/>
          <w:szCs w:val="32"/>
          <w:lang w:val="en-US" w:eastAsia="zh-CN"/>
        </w:rPr>
        <w:t>0.49</w:t>
      </w:r>
      <w:r>
        <w:rPr>
          <w:rFonts w:hint="eastAsia" w:ascii="仿宋_GB2312" w:hAnsi="仿宋"/>
          <w:szCs w:val="32"/>
        </w:rPr>
        <w:t>%，主要原因是</w:t>
      </w:r>
      <w:r>
        <w:rPr>
          <w:rFonts w:hint="eastAsia" w:ascii="仿宋_GB2312" w:hAnsi="仿宋"/>
          <w:szCs w:val="32"/>
          <w:lang w:eastAsia="zh-CN"/>
        </w:rPr>
        <w:t>根据规定盘活财政存量资金，将结转资金上解金库</w:t>
      </w:r>
      <w:r>
        <w:rPr>
          <w:rFonts w:hint="eastAsia" w:ascii="仿宋_GB2312" w:hAnsi="仿宋"/>
          <w:szCs w:val="32"/>
        </w:rPr>
        <w:t>。</w:t>
      </w:r>
    </w:p>
    <w:p>
      <w:pPr>
        <w:ind w:firstLine="628" w:firstLineChars="200"/>
        <w:rPr>
          <w:rFonts w:hint="eastAsia" w:ascii="黑体" w:hAnsi="仿宋" w:eastAsia="黑体"/>
          <w:szCs w:val="32"/>
        </w:rPr>
      </w:pPr>
      <w:r>
        <w:rPr>
          <w:rFonts w:hint="eastAsia" w:ascii="黑体" w:hAnsi="仿宋" w:eastAsia="黑体"/>
          <w:szCs w:val="32"/>
        </w:rPr>
        <w:t>二、收入决算情况说明</w:t>
      </w:r>
    </w:p>
    <w:p>
      <w:pPr>
        <w:ind w:firstLine="628"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年度收入合计</w:t>
      </w:r>
      <w:r>
        <w:rPr>
          <w:rFonts w:hint="eastAsia" w:ascii="仿宋_GB2312" w:hAnsi="仿宋"/>
          <w:szCs w:val="32"/>
          <w:lang w:val="en-US" w:eastAsia="zh-CN"/>
        </w:rPr>
        <w:t>2289.76</w:t>
      </w:r>
      <w:r>
        <w:rPr>
          <w:rFonts w:hint="eastAsia" w:ascii="仿宋_GB2312" w:hAnsi="仿宋"/>
          <w:szCs w:val="32"/>
        </w:rPr>
        <w:t>万元，其中：财政拨款收入</w:t>
      </w:r>
      <w:r>
        <w:rPr>
          <w:rFonts w:hint="eastAsia" w:ascii="仿宋_GB2312" w:hAnsi="仿宋"/>
          <w:szCs w:val="32"/>
          <w:lang w:val="en-US" w:eastAsia="zh-CN"/>
        </w:rPr>
        <w:t>2289.76</w:t>
      </w:r>
      <w:r>
        <w:rPr>
          <w:rFonts w:hint="eastAsia" w:ascii="仿宋_GB2312" w:hAnsi="仿宋"/>
          <w:szCs w:val="32"/>
        </w:rPr>
        <w:t>万元，占</w:t>
      </w:r>
      <w:r>
        <w:rPr>
          <w:rFonts w:hint="eastAsia" w:ascii="仿宋_GB2312" w:hAnsi="仿宋"/>
          <w:szCs w:val="32"/>
          <w:lang w:val="en-US" w:eastAsia="zh-CN"/>
        </w:rPr>
        <w:t>100</w:t>
      </w:r>
      <w:r>
        <w:rPr>
          <w:rFonts w:hint="eastAsia" w:ascii="仿宋_GB2312" w:hAnsi="仿宋"/>
          <w:szCs w:val="32"/>
        </w:rPr>
        <w:t>%；事业收入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%；经营收入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%；其他收入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w:t>
      </w:r>
    </w:p>
    <w:p>
      <w:pPr>
        <w:ind w:firstLine="628" w:firstLineChars="200"/>
        <w:rPr>
          <w:rFonts w:hint="eastAsia" w:ascii="黑体" w:hAnsi="仿宋" w:eastAsia="黑体"/>
          <w:szCs w:val="32"/>
        </w:rPr>
      </w:pPr>
      <w:r>
        <w:rPr>
          <w:rFonts w:hint="eastAsia" w:ascii="黑体" w:hAnsi="仿宋" w:eastAsia="黑体"/>
          <w:szCs w:val="32"/>
        </w:rPr>
        <w:t>三、支出决算情况说明</w:t>
      </w:r>
    </w:p>
    <w:p>
      <w:pPr>
        <w:ind w:firstLine="628"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年度支出合计</w:t>
      </w:r>
      <w:r>
        <w:rPr>
          <w:rFonts w:hint="eastAsia" w:ascii="仿宋_GB2312" w:hAnsi="仿宋"/>
          <w:szCs w:val="32"/>
          <w:lang w:val="en-US" w:eastAsia="zh-CN"/>
        </w:rPr>
        <w:t>2290.96</w:t>
      </w:r>
      <w:r>
        <w:rPr>
          <w:rFonts w:hint="eastAsia" w:ascii="仿宋_GB2312" w:hAnsi="仿宋"/>
          <w:szCs w:val="32"/>
        </w:rPr>
        <w:t>万元，其中：基本支出1651.1</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72.07</w:t>
      </w:r>
      <w:r>
        <w:rPr>
          <w:rFonts w:hint="eastAsia" w:ascii="仿宋_GB2312" w:hAnsi="仿宋"/>
          <w:szCs w:val="32"/>
        </w:rPr>
        <w:t>%；项目支出639.86万元，占</w:t>
      </w:r>
      <w:r>
        <w:rPr>
          <w:rFonts w:hint="eastAsia" w:ascii="仿宋_GB2312" w:hAnsi="仿宋"/>
          <w:szCs w:val="32"/>
          <w:lang w:val="en-US" w:eastAsia="zh-CN"/>
        </w:rPr>
        <w:t>27.93</w:t>
      </w:r>
      <w:r>
        <w:rPr>
          <w:rFonts w:hint="eastAsia" w:ascii="仿宋_GB2312" w:hAnsi="仿宋"/>
          <w:szCs w:val="32"/>
        </w:rPr>
        <w:t>%；经营支出</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w:t>
      </w:r>
    </w:p>
    <w:p>
      <w:pPr>
        <w:ind w:firstLine="628"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ind w:firstLine="628" w:firstLineChars="200"/>
        <w:rPr>
          <w:rFonts w:hint="eastAsia" w:ascii="仿宋_GB2312" w:hAnsi="仿宋"/>
          <w:szCs w:val="32"/>
        </w:rPr>
      </w:pPr>
      <w:r>
        <w:rPr>
          <w:rFonts w:hint="eastAsia" w:ascii="仿宋_GB2312" w:hAnsi="仿宋_GB2312" w:eastAsia="仿宋_GB2312" w:cs="仿宋_GB2312"/>
          <w:b w:val="0"/>
          <w:bCs/>
          <w:color w:val="auto"/>
          <w:sz w:val="32"/>
          <w:szCs w:val="32"/>
          <w:lang w:eastAsia="zh-CN"/>
        </w:rPr>
        <w:t>2021</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szCs w:val="32"/>
        </w:rPr>
        <w:t>总计</w:t>
      </w:r>
      <w:r>
        <w:rPr>
          <w:rFonts w:hint="eastAsia" w:ascii="仿宋_GB2312" w:hAnsi="仿宋"/>
          <w:szCs w:val="32"/>
          <w:lang w:val="en-US" w:eastAsia="zh-CN"/>
        </w:rPr>
        <w:t>2338.36</w:t>
      </w:r>
      <w:r>
        <w:rPr>
          <w:rFonts w:hint="eastAsia" w:ascii="仿宋_GB2312" w:hAnsi="仿宋"/>
          <w:szCs w:val="32"/>
        </w:rPr>
        <w:t>万元（含</w:t>
      </w:r>
      <w:r>
        <w:rPr>
          <w:rFonts w:hint="eastAsia" w:ascii="仿宋_GB2312" w:hAnsi="仿宋"/>
          <w:color w:val="auto"/>
          <w:szCs w:val="32"/>
        </w:rPr>
        <w:t>年初财政拨款结转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2338.36</w:t>
      </w:r>
      <w:r>
        <w:rPr>
          <w:rFonts w:hint="eastAsia" w:ascii="仿宋_GB2312" w:hAnsi="仿宋"/>
          <w:color w:val="auto"/>
          <w:szCs w:val="32"/>
        </w:rPr>
        <w:t>万元（含年末财政拨款结</w:t>
      </w:r>
      <w:r>
        <w:rPr>
          <w:rFonts w:hint="eastAsia" w:ascii="仿宋_GB2312" w:hAnsi="仿宋"/>
          <w:szCs w:val="32"/>
        </w:rPr>
        <w:t>转和结余）。与</w:t>
      </w:r>
      <w:r>
        <w:rPr>
          <w:rFonts w:hint="eastAsia" w:ascii="仿宋_GB2312" w:hAnsi="仿宋"/>
          <w:szCs w:val="32"/>
          <w:lang w:eastAsia="zh-CN"/>
        </w:rPr>
        <w:t>2020</w:t>
      </w:r>
      <w:r>
        <w:rPr>
          <w:rFonts w:hint="eastAsia" w:ascii="仿宋_GB2312" w:hAnsi="仿宋"/>
          <w:szCs w:val="32"/>
        </w:rPr>
        <w:t>年相比，财政拨款收、支总计各减少</w:t>
      </w:r>
      <w:r>
        <w:rPr>
          <w:rFonts w:hint="eastAsia" w:ascii="仿宋_GB2312" w:hAnsi="仿宋"/>
          <w:szCs w:val="32"/>
          <w:lang w:val="en-US" w:eastAsia="zh-CN"/>
        </w:rPr>
        <w:t>11.46</w:t>
      </w:r>
      <w:r>
        <w:rPr>
          <w:rFonts w:hint="eastAsia" w:ascii="仿宋_GB2312" w:hAnsi="仿宋"/>
          <w:szCs w:val="32"/>
        </w:rPr>
        <w:t>万元，下降</w:t>
      </w:r>
      <w:r>
        <w:rPr>
          <w:rFonts w:hint="eastAsia" w:ascii="仿宋_GB2312" w:hAnsi="仿宋"/>
          <w:szCs w:val="32"/>
          <w:lang w:val="en-US" w:eastAsia="zh-CN"/>
        </w:rPr>
        <w:t>0.49</w:t>
      </w:r>
      <w:r>
        <w:rPr>
          <w:rFonts w:hint="eastAsia" w:ascii="仿宋_GB2312" w:hAnsi="仿宋"/>
          <w:szCs w:val="32"/>
        </w:rPr>
        <w:t>%，主要原因是</w:t>
      </w:r>
      <w:r>
        <w:rPr>
          <w:rFonts w:hint="eastAsia" w:ascii="仿宋_GB2312" w:hAnsi="仿宋"/>
          <w:szCs w:val="32"/>
          <w:lang w:eastAsia="zh-CN"/>
        </w:rPr>
        <w:t>：根据规定盘活财政存量资金，将结转资金上解金库</w:t>
      </w:r>
      <w:r>
        <w:rPr>
          <w:rFonts w:hint="eastAsia" w:ascii="仿宋_GB2312" w:hAnsi="仿宋"/>
          <w:szCs w:val="32"/>
        </w:rPr>
        <w:t>。</w:t>
      </w:r>
    </w:p>
    <w:p>
      <w:pPr>
        <w:ind w:firstLine="628" w:firstLineChars="200"/>
        <w:rPr>
          <w:rFonts w:hint="eastAsia" w:ascii="黑体" w:hAnsi="仿宋" w:eastAsia="黑体"/>
          <w:szCs w:val="32"/>
        </w:rPr>
      </w:pPr>
      <w:r>
        <w:rPr>
          <w:rFonts w:hint="eastAsia" w:ascii="黑体" w:hAnsi="仿宋" w:eastAsia="黑体"/>
          <w:szCs w:val="32"/>
        </w:rPr>
        <w:t>五、一般公共预算财政拨款支出决算情况说明</w:t>
      </w:r>
    </w:p>
    <w:p>
      <w:pPr>
        <w:ind w:firstLine="628" w:firstLineChars="200"/>
        <w:rPr>
          <w:rFonts w:hint="eastAsia" w:ascii="仿宋_GB2312" w:hAnsi="仿宋"/>
          <w:b/>
          <w:bCs/>
          <w:szCs w:val="32"/>
        </w:rPr>
      </w:pPr>
      <w:r>
        <w:rPr>
          <w:rFonts w:hint="eastAsia" w:ascii="仿宋_GB2312" w:hAnsi="仿宋"/>
          <w:b/>
          <w:bCs/>
          <w:szCs w:val="32"/>
        </w:rPr>
        <w:t>（一）一般公共预算财政拨款支出决算总体情况。</w:t>
      </w:r>
    </w:p>
    <w:p>
      <w:pPr>
        <w:ind w:firstLine="628" w:firstLineChars="200"/>
        <w:rPr>
          <w:rFonts w:hint="eastAsia" w:ascii="仿宋_GB2312" w:hAnsi="仿宋"/>
          <w:color w:val="auto"/>
          <w:szCs w:val="32"/>
        </w:rPr>
      </w:pPr>
      <w:r>
        <w:rPr>
          <w:rFonts w:hint="eastAsia" w:ascii="仿宋_GB2312" w:hAnsi="仿宋"/>
          <w:szCs w:val="32"/>
          <w:lang w:eastAsia="zh-CN"/>
        </w:rPr>
        <w:t>2021</w:t>
      </w:r>
      <w:r>
        <w:rPr>
          <w:rFonts w:hint="eastAsia" w:ascii="仿宋_GB2312" w:hAnsi="仿宋"/>
          <w:szCs w:val="32"/>
        </w:rPr>
        <w:t>年度一般公共预算财政拨款支出</w:t>
      </w:r>
      <w:r>
        <w:rPr>
          <w:rFonts w:hint="eastAsia" w:ascii="仿宋_GB2312" w:hAnsi="仿宋"/>
          <w:szCs w:val="32"/>
          <w:lang w:val="en-US" w:eastAsia="zh-CN"/>
        </w:rPr>
        <w:t>2290.96</w:t>
      </w:r>
      <w:r>
        <w:rPr>
          <w:rFonts w:hint="eastAsia" w:ascii="仿宋_GB2312" w:hAnsi="仿宋"/>
          <w:szCs w:val="32"/>
        </w:rPr>
        <w:t>万元，占本年支出的</w:t>
      </w:r>
      <w:r>
        <w:rPr>
          <w:rFonts w:hint="eastAsia" w:ascii="仿宋_GB2312" w:hAnsi="仿宋"/>
          <w:szCs w:val="32"/>
          <w:lang w:val="en-US" w:eastAsia="zh-CN"/>
        </w:rPr>
        <w:t>100</w:t>
      </w:r>
      <w:r>
        <w:rPr>
          <w:rFonts w:hint="eastAsia" w:ascii="仿宋_GB2312" w:hAnsi="仿宋"/>
          <w:szCs w:val="32"/>
        </w:rPr>
        <w:t>%。与</w:t>
      </w:r>
      <w:r>
        <w:rPr>
          <w:rFonts w:hint="eastAsia" w:ascii="仿宋_GB2312" w:hAnsi="仿宋"/>
          <w:szCs w:val="32"/>
          <w:lang w:eastAsia="zh-CN"/>
        </w:rPr>
        <w:t>2020</w:t>
      </w:r>
      <w:r>
        <w:rPr>
          <w:rFonts w:hint="eastAsia" w:ascii="仿宋_GB2312" w:hAnsi="仿宋"/>
          <w:szCs w:val="32"/>
        </w:rPr>
        <w:t>年相比，一般公共预算财政拨款支出增加</w:t>
      </w:r>
      <w:r>
        <w:rPr>
          <w:rFonts w:hint="eastAsia" w:ascii="仿宋_GB2312" w:hAnsi="仿宋"/>
          <w:szCs w:val="32"/>
          <w:lang w:val="en-US" w:eastAsia="zh-CN"/>
        </w:rPr>
        <w:t>80.05</w:t>
      </w:r>
      <w:r>
        <w:rPr>
          <w:rFonts w:hint="eastAsia" w:ascii="仿宋_GB2312" w:hAnsi="仿宋"/>
          <w:szCs w:val="32"/>
        </w:rPr>
        <w:t>万元，增长</w:t>
      </w:r>
      <w:r>
        <w:rPr>
          <w:rFonts w:hint="eastAsia" w:ascii="仿宋_GB2312" w:hAnsi="仿宋"/>
          <w:szCs w:val="32"/>
          <w:lang w:val="en-US" w:eastAsia="zh-CN"/>
        </w:rPr>
        <w:t>3.62</w:t>
      </w:r>
      <w:r>
        <w:rPr>
          <w:rFonts w:hint="eastAsia" w:ascii="仿宋_GB2312" w:hAnsi="仿宋"/>
          <w:szCs w:val="32"/>
        </w:rPr>
        <w:t>%。</w:t>
      </w:r>
      <w:r>
        <w:rPr>
          <w:rFonts w:hint="eastAsia" w:ascii="仿宋_GB2312" w:hAnsi="仿宋"/>
          <w:color w:val="auto"/>
          <w:szCs w:val="32"/>
        </w:rPr>
        <w:t>主要原因一是人员经费</w:t>
      </w:r>
      <w:r>
        <w:rPr>
          <w:rFonts w:hint="eastAsia" w:ascii="仿宋_GB2312" w:hAnsi="仿宋"/>
          <w:color w:val="auto"/>
          <w:szCs w:val="32"/>
          <w:lang w:eastAsia="zh-CN"/>
        </w:rPr>
        <w:t>增加</w:t>
      </w:r>
      <w:r>
        <w:rPr>
          <w:rFonts w:hint="eastAsia" w:ascii="仿宋_GB2312" w:hAnsi="仿宋"/>
          <w:color w:val="auto"/>
          <w:szCs w:val="32"/>
        </w:rPr>
        <w:t>；二是</w:t>
      </w:r>
      <w:r>
        <w:rPr>
          <w:rFonts w:hint="eastAsia"/>
          <w:color w:val="auto"/>
          <w:lang w:eastAsia="zh-CN"/>
        </w:rPr>
        <w:t>增加话务员而追加12345呼叫中心运营外包服务费；三是追加“四送一服”双千工作费</w:t>
      </w:r>
      <w:r>
        <w:rPr>
          <w:rFonts w:hint="eastAsia" w:ascii="仿宋_GB2312" w:hAnsi="仿宋"/>
          <w:color w:val="auto"/>
          <w:szCs w:val="32"/>
        </w:rPr>
        <w:t>。</w:t>
      </w:r>
    </w:p>
    <w:p>
      <w:pPr>
        <w:ind w:firstLine="628" w:firstLineChars="200"/>
        <w:rPr>
          <w:rFonts w:hint="eastAsia" w:ascii="仿宋_GB2312" w:hAnsi="仿宋"/>
          <w:b/>
          <w:szCs w:val="32"/>
        </w:rPr>
      </w:pPr>
      <w:r>
        <w:rPr>
          <w:rFonts w:hint="eastAsia" w:ascii="仿宋_GB2312" w:hAnsi="仿宋"/>
          <w:b/>
          <w:szCs w:val="32"/>
        </w:rPr>
        <w:t>（二）一般公共预算财政拨款支出决算结构情况。</w:t>
      </w:r>
    </w:p>
    <w:p>
      <w:pPr>
        <w:ind w:firstLine="628" w:firstLineChars="200"/>
        <w:rPr>
          <w:rFonts w:hint="eastAsia" w:ascii="仿宋_GB2312" w:hAnsi="仿宋"/>
          <w:color w:val="auto"/>
          <w:szCs w:val="32"/>
        </w:rPr>
      </w:pPr>
      <w:r>
        <w:rPr>
          <w:rFonts w:hint="eastAsia" w:ascii="仿宋_GB2312" w:hAnsi="仿宋"/>
          <w:szCs w:val="32"/>
          <w:lang w:eastAsia="zh-CN"/>
        </w:rPr>
        <w:t>2021</w:t>
      </w:r>
      <w:r>
        <w:rPr>
          <w:rFonts w:hint="eastAsia" w:ascii="仿宋_GB2312" w:hAnsi="仿宋"/>
          <w:szCs w:val="32"/>
        </w:rPr>
        <w:t>年度一般公共预算财政拨款支出</w:t>
      </w:r>
      <w:r>
        <w:rPr>
          <w:rFonts w:hint="eastAsia" w:ascii="仿宋_GB2312" w:hAnsi="仿宋"/>
          <w:szCs w:val="32"/>
          <w:lang w:val="en-US" w:eastAsia="zh-CN"/>
        </w:rPr>
        <w:t>2290.96</w:t>
      </w:r>
      <w:r>
        <w:rPr>
          <w:rFonts w:hint="eastAsia" w:ascii="仿宋_GB2312" w:hAnsi="仿宋"/>
          <w:szCs w:val="32"/>
        </w:rPr>
        <w:t>万元，主要用于以下方</w:t>
      </w:r>
      <w:r>
        <w:rPr>
          <w:rFonts w:hint="eastAsia" w:ascii="仿宋_GB2312" w:hAnsi="仿宋"/>
          <w:color w:val="auto"/>
          <w:szCs w:val="32"/>
        </w:rPr>
        <w:t>面：</w:t>
      </w:r>
      <w:r>
        <w:rPr>
          <w:rFonts w:hint="eastAsia" w:ascii="仿宋_GB2312" w:hAnsi="仿宋"/>
          <w:b/>
          <w:szCs w:val="32"/>
          <w:highlight w:val="none"/>
        </w:rPr>
        <w:t>一般公共服务（类）</w:t>
      </w:r>
      <w:r>
        <w:rPr>
          <w:rFonts w:hint="eastAsia" w:ascii="仿宋_GB2312" w:hAnsi="仿宋"/>
          <w:szCs w:val="32"/>
          <w:highlight w:val="none"/>
        </w:rPr>
        <w:t>支出</w:t>
      </w:r>
      <w:r>
        <w:rPr>
          <w:rFonts w:hint="eastAsia" w:ascii="仿宋_GB2312" w:hAnsi="仿宋"/>
          <w:szCs w:val="32"/>
          <w:highlight w:val="none"/>
          <w:lang w:val="en-US" w:eastAsia="zh-CN"/>
        </w:rPr>
        <w:t>1861.98</w:t>
      </w:r>
      <w:r>
        <w:rPr>
          <w:rFonts w:hint="eastAsia" w:ascii="仿宋_GB2312" w:hAnsi="仿宋"/>
          <w:szCs w:val="32"/>
          <w:highlight w:val="none"/>
        </w:rPr>
        <w:t>万元，占</w:t>
      </w:r>
      <w:r>
        <w:rPr>
          <w:rFonts w:hint="eastAsia" w:ascii="仿宋_GB2312" w:hAnsi="仿宋"/>
          <w:szCs w:val="32"/>
          <w:highlight w:val="none"/>
          <w:lang w:val="en-US" w:eastAsia="zh-CN"/>
        </w:rPr>
        <w:t>81.28</w:t>
      </w:r>
      <w:r>
        <w:rPr>
          <w:rFonts w:hint="eastAsia" w:ascii="仿宋_GB2312" w:hAnsi="仿宋"/>
          <w:szCs w:val="32"/>
          <w:highlight w:val="none"/>
        </w:rPr>
        <w:t>%;</w:t>
      </w:r>
      <w:r>
        <w:rPr>
          <w:rFonts w:hint="eastAsia" w:ascii="仿宋_GB2312" w:hAnsi="仿宋"/>
          <w:b/>
          <w:szCs w:val="32"/>
          <w:highlight w:val="none"/>
        </w:rPr>
        <w:t>教育（类）</w:t>
      </w:r>
      <w:r>
        <w:rPr>
          <w:rFonts w:hint="eastAsia" w:ascii="仿宋_GB2312" w:hAnsi="仿宋"/>
          <w:szCs w:val="32"/>
          <w:highlight w:val="none"/>
        </w:rPr>
        <w:t>支出</w:t>
      </w:r>
      <w:r>
        <w:rPr>
          <w:rFonts w:hint="eastAsia" w:ascii="仿宋_GB2312" w:hAnsi="仿宋"/>
          <w:szCs w:val="32"/>
          <w:highlight w:val="none"/>
          <w:lang w:val="en-US" w:eastAsia="zh-CN"/>
        </w:rPr>
        <w:t>0.74</w:t>
      </w:r>
      <w:r>
        <w:rPr>
          <w:rFonts w:hint="eastAsia" w:ascii="仿宋_GB2312" w:hAnsi="仿宋"/>
          <w:szCs w:val="32"/>
          <w:highlight w:val="none"/>
        </w:rPr>
        <w:t>万元，占</w:t>
      </w:r>
      <w:r>
        <w:rPr>
          <w:rFonts w:hint="eastAsia" w:ascii="仿宋_GB2312" w:hAnsi="仿宋"/>
          <w:szCs w:val="32"/>
          <w:highlight w:val="none"/>
          <w:lang w:val="en-US" w:eastAsia="zh-CN"/>
        </w:rPr>
        <w:t>0.03</w:t>
      </w:r>
      <w:r>
        <w:rPr>
          <w:rFonts w:hint="eastAsia" w:ascii="仿宋_GB2312" w:hAnsi="仿宋"/>
          <w:szCs w:val="32"/>
          <w:highlight w:val="none"/>
        </w:rPr>
        <w:t>%；</w:t>
      </w:r>
      <w:r>
        <w:rPr>
          <w:rFonts w:hint="eastAsia" w:ascii="仿宋_GB2312" w:hAnsi="仿宋"/>
          <w:b/>
          <w:szCs w:val="32"/>
          <w:highlight w:val="none"/>
        </w:rPr>
        <w:t>社会保障和就业（类）</w:t>
      </w:r>
      <w:r>
        <w:rPr>
          <w:rFonts w:hint="eastAsia" w:ascii="仿宋_GB2312" w:hAnsi="仿宋"/>
          <w:szCs w:val="32"/>
          <w:highlight w:val="none"/>
        </w:rPr>
        <w:t>支出</w:t>
      </w:r>
      <w:r>
        <w:rPr>
          <w:rFonts w:hint="eastAsia" w:ascii="仿宋_GB2312" w:hAnsi="仿宋"/>
          <w:szCs w:val="32"/>
          <w:highlight w:val="none"/>
          <w:lang w:val="en-US" w:eastAsia="zh-CN"/>
        </w:rPr>
        <w:t>216.31</w:t>
      </w:r>
      <w:r>
        <w:rPr>
          <w:rFonts w:hint="eastAsia" w:ascii="仿宋_GB2312" w:hAnsi="仿宋"/>
          <w:szCs w:val="32"/>
          <w:highlight w:val="none"/>
        </w:rPr>
        <w:t>万元，占</w:t>
      </w:r>
      <w:r>
        <w:rPr>
          <w:rFonts w:hint="eastAsia" w:ascii="仿宋_GB2312" w:hAnsi="仿宋"/>
          <w:szCs w:val="32"/>
          <w:highlight w:val="none"/>
          <w:lang w:val="en-US" w:eastAsia="zh-CN"/>
        </w:rPr>
        <w:t>9.44</w:t>
      </w:r>
      <w:r>
        <w:rPr>
          <w:rFonts w:hint="eastAsia" w:ascii="仿宋_GB2312" w:hAnsi="仿宋"/>
          <w:szCs w:val="32"/>
          <w:highlight w:val="none"/>
        </w:rPr>
        <w:t>%；</w:t>
      </w:r>
      <w:r>
        <w:rPr>
          <w:rFonts w:hint="eastAsia" w:ascii="仿宋_GB2312" w:hAnsi="仿宋"/>
          <w:b/>
          <w:szCs w:val="32"/>
          <w:highlight w:val="none"/>
          <w:lang w:eastAsia="zh-CN"/>
        </w:rPr>
        <w:t>卫生健康</w:t>
      </w:r>
      <w:r>
        <w:rPr>
          <w:rFonts w:hint="eastAsia" w:ascii="仿宋_GB2312" w:hAnsi="仿宋"/>
          <w:b/>
          <w:szCs w:val="32"/>
          <w:highlight w:val="none"/>
        </w:rPr>
        <w:t>（类）</w:t>
      </w:r>
      <w:r>
        <w:rPr>
          <w:rFonts w:hint="eastAsia" w:ascii="仿宋_GB2312" w:hAnsi="仿宋"/>
          <w:szCs w:val="32"/>
          <w:highlight w:val="none"/>
        </w:rPr>
        <w:t>支出</w:t>
      </w:r>
      <w:r>
        <w:rPr>
          <w:rFonts w:hint="eastAsia" w:ascii="仿宋_GB2312" w:hAnsi="仿宋"/>
          <w:szCs w:val="32"/>
          <w:highlight w:val="none"/>
          <w:lang w:val="en-US" w:eastAsia="zh-CN"/>
        </w:rPr>
        <w:t>43.35</w:t>
      </w:r>
      <w:r>
        <w:rPr>
          <w:rFonts w:hint="eastAsia" w:ascii="仿宋_GB2312" w:hAnsi="仿宋"/>
          <w:szCs w:val="32"/>
          <w:highlight w:val="none"/>
        </w:rPr>
        <w:t>万元，占</w:t>
      </w:r>
      <w:r>
        <w:rPr>
          <w:rFonts w:hint="eastAsia" w:ascii="仿宋_GB2312" w:hAnsi="仿宋"/>
          <w:szCs w:val="32"/>
          <w:highlight w:val="none"/>
          <w:lang w:val="en-US" w:eastAsia="zh-CN"/>
        </w:rPr>
        <w:t>1.89</w:t>
      </w:r>
      <w:r>
        <w:rPr>
          <w:rFonts w:hint="eastAsia" w:ascii="仿宋_GB2312" w:hAnsi="仿宋"/>
          <w:szCs w:val="32"/>
          <w:highlight w:val="none"/>
        </w:rPr>
        <w:t>%；</w:t>
      </w:r>
      <w:r>
        <w:rPr>
          <w:rFonts w:hint="eastAsia" w:ascii="仿宋_GB2312" w:hAnsi="仿宋"/>
          <w:b/>
          <w:bCs/>
          <w:szCs w:val="32"/>
          <w:highlight w:val="none"/>
        </w:rPr>
        <w:t>农林水</w:t>
      </w:r>
      <w:r>
        <w:rPr>
          <w:rFonts w:hint="eastAsia" w:ascii="仿宋_GB2312" w:hAnsi="仿宋"/>
          <w:b/>
          <w:bCs/>
          <w:szCs w:val="32"/>
          <w:highlight w:val="none"/>
          <w:lang w:eastAsia="zh-CN"/>
        </w:rPr>
        <w:t>（类）</w:t>
      </w:r>
      <w:r>
        <w:rPr>
          <w:rFonts w:hint="eastAsia" w:ascii="仿宋_GB2312" w:hAnsi="仿宋"/>
          <w:b w:val="0"/>
          <w:bCs w:val="0"/>
          <w:szCs w:val="32"/>
          <w:highlight w:val="none"/>
          <w:lang w:eastAsia="zh-CN"/>
        </w:rPr>
        <w:t>支出</w:t>
      </w:r>
      <w:r>
        <w:rPr>
          <w:rFonts w:hint="eastAsia" w:ascii="仿宋_GB2312" w:hAnsi="仿宋"/>
          <w:szCs w:val="32"/>
          <w:highlight w:val="none"/>
          <w:lang w:val="en-US" w:eastAsia="zh-CN"/>
        </w:rPr>
        <w:t>1.84</w:t>
      </w:r>
      <w:r>
        <w:rPr>
          <w:rFonts w:hint="eastAsia" w:ascii="仿宋_GB2312" w:hAnsi="仿宋"/>
          <w:szCs w:val="32"/>
          <w:highlight w:val="none"/>
        </w:rPr>
        <w:t>万元，占</w:t>
      </w:r>
      <w:r>
        <w:rPr>
          <w:rFonts w:hint="eastAsia" w:ascii="仿宋_GB2312" w:hAnsi="仿宋"/>
          <w:szCs w:val="32"/>
          <w:highlight w:val="none"/>
          <w:lang w:val="en-US" w:eastAsia="zh-CN"/>
        </w:rPr>
        <w:t>0.08</w:t>
      </w:r>
      <w:r>
        <w:rPr>
          <w:rFonts w:hint="eastAsia" w:ascii="仿宋_GB2312" w:hAnsi="仿宋"/>
          <w:szCs w:val="32"/>
          <w:highlight w:val="none"/>
        </w:rPr>
        <w:t>%；</w:t>
      </w:r>
      <w:r>
        <w:rPr>
          <w:rFonts w:hint="eastAsia" w:ascii="仿宋_GB2312" w:hAnsi="仿宋"/>
          <w:b/>
          <w:bCs/>
          <w:szCs w:val="32"/>
          <w:highlight w:val="none"/>
        </w:rPr>
        <w:t>资源勘探工业信息等</w:t>
      </w:r>
      <w:r>
        <w:rPr>
          <w:rFonts w:hint="eastAsia" w:ascii="仿宋_GB2312" w:hAnsi="仿宋"/>
          <w:b/>
          <w:szCs w:val="32"/>
          <w:highlight w:val="none"/>
        </w:rPr>
        <w:t>（类）</w:t>
      </w:r>
      <w:r>
        <w:rPr>
          <w:rFonts w:hint="eastAsia" w:ascii="仿宋_GB2312" w:hAnsi="仿宋"/>
          <w:szCs w:val="32"/>
          <w:highlight w:val="none"/>
        </w:rPr>
        <w:t>支出</w:t>
      </w:r>
      <w:r>
        <w:rPr>
          <w:rFonts w:hint="eastAsia" w:ascii="仿宋_GB2312" w:hAnsi="仿宋"/>
          <w:szCs w:val="32"/>
          <w:highlight w:val="none"/>
          <w:lang w:val="en-US" w:eastAsia="zh-CN"/>
        </w:rPr>
        <w:t>25</w:t>
      </w:r>
      <w:r>
        <w:rPr>
          <w:rFonts w:hint="eastAsia" w:ascii="仿宋_GB2312" w:hAnsi="仿宋"/>
          <w:szCs w:val="32"/>
          <w:highlight w:val="none"/>
        </w:rPr>
        <w:t>万元，占</w:t>
      </w:r>
      <w:r>
        <w:rPr>
          <w:rFonts w:hint="eastAsia" w:ascii="仿宋_GB2312" w:hAnsi="仿宋"/>
          <w:szCs w:val="32"/>
          <w:highlight w:val="none"/>
          <w:lang w:val="en-US" w:eastAsia="zh-CN"/>
        </w:rPr>
        <w:t>1.09</w:t>
      </w:r>
      <w:r>
        <w:rPr>
          <w:rFonts w:hint="eastAsia" w:ascii="仿宋_GB2312" w:hAnsi="仿宋"/>
          <w:szCs w:val="32"/>
          <w:highlight w:val="none"/>
        </w:rPr>
        <w:t>%</w:t>
      </w:r>
      <w:r>
        <w:rPr>
          <w:rFonts w:hint="eastAsia" w:ascii="仿宋_GB2312" w:hAnsi="仿宋"/>
          <w:szCs w:val="32"/>
          <w:highlight w:val="none"/>
          <w:lang w:eastAsia="zh-CN"/>
        </w:rPr>
        <w:t>；</w:t>
      </w:r>
      <w:r>
        <w:rPr>
          <w:rFonts w:hint="eastAsia" w:ascii="仿宋_GB2312" w:hAnsi="仿宋"/>
          <w:b/>
          <w:szCs w:val="32"/>
          <w:highlight w:val="none"/>
        </w:rPr>
        <w:t>住房保障（类）</w:t>
      </w:r>
      <w:r>
        <w:rPr>
          <w:rFonts w:hint="eastAsia" w:ascii="仿宋_GB2312" w:hAnsi="仿宋"/>
          <w:szCs w:val="32"/>
          <w:highlight w:val="none"/>
        </w:rPr>
        <w:t>支出</w:t>
      </w:r>
      <w:r>
        <w:rPr>
          <w:rFonts w:hint="eastAsia" w:ascii="仿宋_GB2312" w:hAnsi="仿宋"/>
          <w:szCs w:val="32"/>
          <w:highlight w:val="none"/>
          <w:lang w:val="en-US" w:eastAsia="zh-CN"/>
        </w:rPr>
        <w:t>141.74</w:t>
      </w:r>
      <w:r>
        <w:rPr>
          <w:rFonts w:hint="eastAsia" w:ascii="仿宋_GB2312" w:hAnsi="仿宋"/>
          <w:szCs w:val="32"/>
          <w:highlight w:val="none"/>
        </w:rPr>
        <w:t>万元，占</w:t>
      </w:r>
      <w:r>
        <w:rPr>
          <w:rFonts w:hint="eastAsia" w:ascii="仿宋_GB2312" w:hAnsi="仿宋"/>
          <w:szCs w:val="32"/>
          <w:highlight w:val="none"/>
          <w:lang w:val="en-US" w:eastAsia="zh-CN"/>
        </w:rPr>
        <w:t>6.19</w:t>
      </w:r>
      <w:r>
        <w:rPr>
          <w:rFonts w:hint="eastAsia" w:ascii="仿宋_GB2312" w:hAnsi="仿宋"/>
          <w:szCs w:val="32"/>
          <w:highlight w:val="none"/>
        </w:rPr>
        <w:t>%</w:t>
      </w:r>
      <w:r>
        <w:rPr>
          <w:rFonts w:hint="eastAsia" w:ascii="仿宋_GB2312" w:hAnsi="仿宋"/>
          <w:szCs w:val="32"/>
          <w:highlight w:val="none"/>
          <w:lang w:eastAsia="zh-CN"/>
        </w:rPr>
        <w:t>。</w:t>
      </w:r>
    </w:p>
    <w:p>
      <w:pPr>
        <w:ind w:firstLine="628" w:firstLineChars="200"/>
        <w:rPr>
          <w:rFonts w:hint="eastAsia" w:ascii="仿宋_GB2312" w:hAnsi="仿宋"/>
          <w:b/>
          <w:bCs/>
          <w:szCs w:val="32"/>
        </w:rPr>
      </w:pPr>
      <w:r>
        <w:rPr>
          <w:rFonts w:hint="eastAsia" w:ascii="仿宋_GB2312" w:hAnsi="仿宋"/>
          <w:b/>
          <w:bCs/>
          <w:szCs w:val="32"/>
        </w:rPr>
        <w:t>（三）一般公共预算财政拨款支出决算具体情况。</w:t>
      </w:r>
    </w:p>
    <w:p>
      <w:pPr>
        <w:ind w:firstLine="628" w:firstLineChars="200"/>
        <w:rPr>
          <w:rFonts w:hint="eastAsia" w:ascii="仿宋_GB2312" w:hAnsi="仿宋"/>
          <w:szCs w:val="32"/>
          <w:highlight w:val="none"/>
        </w:rPr>
      </w:pPr>
      <w:r>
        <w:rPr>
          <w:rFonts w:hint="eastAsia" w:ascii="仿宋_GB2312" w:hAnsi="仿宋"/>
          <w:szCs w:val="32"/>
          <w:highlight w:val="none"/>
          <w:lang w:eastAsia="zh-CN"/>
        </w:rPr>
        <w:t>2021</w:t>
      </w:r>
      <w:r>
        <w:rPr>
          <w:rFonts w:hint="eastAsia" w:ascii="仿宋_GB2312" w:hAnsi="仿宋"/>
          <w:szCs w:val="32"/>
          <w:highlight w:val="none"/>
        </w:rPr>
        <w:t>年度一般公共预算财政拨款支出年初预算为</w:t>
      </w:r>
      <w:r>
        <w:rPr>
          <w:rFonts w:hint="eastAsia" w:ascii="仿宋_GB2312" w:hAnsi="仿宋"/>
          <w:szCs w:val="32"/>
          <w:highlight w:val="none"/>
          <w:lang w:val="en-US" w:eastAsia="zh-CN"/>
        </w:rPr>
        <w:t>2133.37</w:t>
      </w:r>
      <w:r>
        <w:rPr>
          <w:rFonts w:hint="eastAsia" w:ascii="仿宋_GB2312" w:hAnsi="仿宋"/>
          <w:szCs w:val="32"/>
          <w:highlight w:val="none"/>
        </w:rPr>
        <w:t>万元，支出决算为</w:t>
      </w:r>
      <w:r>
        <w:rPr>
          <w:rFonts w:hint="eastAsia" w:ascii="仿宋_GB2312" w:hAnsi="仿宋"/>
          <w:szCs w:val="32"/>
          <w:highlight w:val="none"/>
          <w:lang w:val="en-US" w:eastAsia="zh-CN"/>
        </w:rPr>
        <w:t>2290.96</w:t>
      </w:r>
      <w:r>
        <w:rPr>
          <w:rFonts w:hint="eastAsia" w:ascii="仿宋_GB2312" w:hAnsi="仿宋"/>
          <w:szCs w:val="32"/>
          <w:highlight w:val="none"/>
        </w:rPr>
        <w:t>万元，完成年初预算的</w:t>
      </w:r>
      <w:r>
        <w:rPr>
          <w:rFonts w:hint="eastAsia" w:ascii="仿宋_GB2312" w:hAnsi="仿宋"/>
          <w:szCs w:val="32"/>
          <w:highlight w:val="none"/>
          <w:lang w:val="en-US" w:eastAsia="zh-CN"/>
        </w:rPr>
        <w:t>107.39</w:t>
      </w:r>
      <w:r>
        <w:rPr>
          <w:rFonts w:hint="eastAsia" w:ascii="仿宋_GB2312" w:hAnsi="仿宋"/>
          <w:szCs w:val="32"/>
          <w:highlight w:val="none"/>
        </w:rPr>
        <w:t>%。决算数大于预算数的主要原因是</w:t>
      </w:r>
      <w:r>
        <w:rPr>
          <w:rFonts w:hint="eastAsia" w:ascii="仿宋_GB2312" w:hAnsi="仿宋"/>
          <w:szCs w:val="32"/>
        </w:rPr>
        <w:t>追加人员经费</w:t>
      </w:r>
      <w:r>
        <w:rPr>
          <w:rFonts w:hint="eastAsia" w:ascii="仿宋_GB2312" w:hAnsi="仿宋"/>
          <w:szCs w:val="32"/>
          <w:lang w:eastAsia="zh-CN"/>
        </w:rPr>
        <w:t>。</w:t>
      </w:r>
      <w:r>
        <w:rPr>
          <w:rFonts w:hint="eastAsia" w:ascii="仿宋_GB2312" w:hAnsi="仿宋"/>
          <w:szCs w:val="32"/>
        </w:rPr>
        <w:t>其中：基本支出1651.1</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72.07</w:t>
      </w:r>
      <w:r>
        <w:rPr>
          <w:rFonts w:hint="eastAsia" w:ascii="仿宋_GB2312" w:hAnsi="仿宋"/>
          <w:szCs w:val="32"/>
        </w:rPr>
        <w:t>%；项目支出639.86万元，占</w:t>
      </w:r>
      <w:r>
        <w:rPr>
          <w:rFonts w:hint="eastAsia" w:ascii="仿宋_GB2312" w:hAnsi="仿宋"/>
          <w:szCs w:val="32"/>
          <w:lang w:val="en-US" w:eastAsia="zh-CN"/>
        </w:rPr>
        <w:t>27.93</w:t>
      </w:r>
      <w:r>
        <w:rPr>
          <w:rFonts w:hint="eastAsia" w:ascii="仿宋_GB2312" w:hAnsi="仿宋"/>
          <w:szCs w:val="32"/>
        </w:rPr>
        <w:t>%；</w:t>
      </w:r>
      <w:r>
        <w:rPr>
          <w:rFonts w:hint="eastAsia" w:ascii="仿宋_GB2312" w:hAnsi="仿宋"/>
          <w:szCs w:val="32"/>
          <w:highlight w:val="none"/>
        </w:rPr>
        <w:t>具体情况如下：</w:t>
      </w:r>
    </w:p>
    <w:p>
      <w:pPr>
        <w:ind w:firstLine="628" w:firstLineChars="200"/>
        <w:rPr>
          <w:rFonts w:hint="eastAsia" w:ascii="仿宋_GB2312" w:hAnsi="仿宋"/>
          <w:szCs w:val="32"/>
          <w:highlight w:val="none"/>
        </w:rPr>
      </w:pPr>
      <w:r>
        <w:rPr>
          <w:rFonts w:hint="eastAsia" w:ascii="仿宋_GB2312" w:hAnsi="仿宋"/>
          <w:szCs w:val="32"/>
          <w:highlight w:val="none"/>
        </w:rPr>
        <w:t>1.</w:t>
      </w:r>
      <w:r>
        <w:rPr>
          <w:rFonts w:hint="eastAsia" w:ascii="仿宋_GB2312" w:hAnsi="仿宋"/>
          <w:b/>
          <w:szCs w:val="32"/>
          <w:highlight w:val="none"/>
        </w:rPr>
        <w:t>一般公共服务（类）政府办公厅（室）及相关机构事务（款）行政运行（项）</w:t>
      </w:r>
      <w:r>
        <w:rPr>
          <w:rFonts w:hint="eastAsia" w:ascii="仿宋_GB2312" w:hAnsi="仿宋"/>
          <w:szCs w:val="32"/>
          <w:highlight w:val="none"/>
        </w:rPr>
        <w:t>。年初预算为1461.36万元，支出决算为1452.65万元，</w:t>
      </w:r>
      <w:r>
        <w:rPr>
          <w:rFonts w:hint="eastAsia" w:ascii="仿宋_GB2312" w:hAnsi="仿宋"/>
          <w:szCs w:val="32"/>
        </w:rPr>
        <w:t>执行率为</w:t>
      </w:r>
      <w:r>
        <w:rPr>
          <w:rFonts w:hint="eastAsia" w:ascii="仿宋_GB2312" w:hAnsi="仿宋"/>
          <w:szCs w:val="32"/>
          <w:lang w:val="en-US" w:eastAsia="zh-CN"/>
        </w:rPr>
        <w:t>99</w:t>
      </w:r>
      <w:r>
        <w:rPr>
          <w:rFonts w:hint="eastAsia" w:ascii="仿宋_GB2312" w:hAnsi="仿宋"/>
          <w:szCs w:val="32"/>
        </w:rPr>
        <w:t>%</w:t>
      </w:r>
      <w:r>
        <w:rPr>
          <w:rFonts w:hint="eastAsia" w:ascii="仿宋_GB2312" w:hAnsi="仿宋"/>
          <w:szCs w:val="32"/>
          <w:highlight w:val="none"/>
        </w:rPr>
        <w:t>。</w:t>
      </w:r>
    </w:p>
    <w:p>
      <w:pPr>
        <w:ind w:firstLine="628" w:firstLineChars="200"/>
        <w:rPr>
          <w:rFonts w:hint="eastAsia" w:ascii="仿宋_GB2312" w:hAnsi="仿宋"/>
          <w:szCs w:val="32"/>
        </w:rPr>
      </w:pPr>
      <w:r>
        <w:rPr>
          <w:rFonts w:hint="eastAsia" w:ascii="仿宋_GB2312" w:hAnsi="仿宋"/>
          <w:szCs w:val="32"/>
          <w:highlight w:val="none"/>
        </w:rPr>
        <w:t>2.</w:t>
      </w:r>
      <w:r>
        <w:rPr>
          <w:rFonts w:hint="eastAsia" w:ascii="仿宋_GB2312" w:hAnsi="仿宋"/>
          <w:b/>
          <w:szCs w:val="32"/>
          <w:highlight w:val="none"/>
        </w:rPr>
        <w:t>一般公共服务（类）政府办公厅（室）及相关机构事务（款）一般行政管理事务（项）</w:t>
      </w:r>
      <w:r>
        <w:rPr>
          <w:rFonts w:hint="eastAsia" w:ascii="仿宋_GB2312" w:hAnsi="仿宋"/>
          <w:szCs w:val="32"/>
          <w:highlight w:val="none"/>
        </w:rPr>
        <w:t>。年初预算为</w:t>
      </w:r>
      <w:r>
        <w:rPr>
          <w:rFonts w:hint="eastAsia" w:ascii="仿宋_GB2312" w:hAnsi="仿宋"/>
          <w:szCs w:val="32"/>
          <w:highlight w:val="none"/>
          <w:lang w:val="en-US" w:eastAsia="zh-CN"/>
        </w:rPr>
        <w:t>290</w:t>
      </w:r>
      <w:r>
        <w:rPr>
          <w:rFonts w:hint="eastAsia" w:ascii="仿宋_GB2312" w:hAnsi="仿宋"/>
          <w:szCs w:val="32"/>
          <w:highlight w:val="none"/>
        </w:rPr>
        <w:t>万元，支出决算为</w:t>
      </w:r>
      <w:r>
        <w:rPr>
          <w:rFonts w:hint="eastAsia" w:ascii="仿宋_GB2312" w:hAnsi="仿宋"/>
          <w:szCs w:val="32"/>
          <w:highlight w:val="none"/>
          <w:lang w:val="en-US" w:eastAsia="zh-CN"/>
        </w:rPr>
        <w:t>338.60</w:t>
      </w:r>
      <w:r>
        <w:rPr>
          <w:rFonts w:hint="eastAsia" w:ascii="仿宋_GB2312" w:hAnsi="仿宋"/>
          <w:szCs w:val="32"/>
          <w:highlight w:val="none"/>
        </w:rPr>
        <w:t>万元，完成年初预算的</w:t>
      </w:r>
      <w:r>
        <w:rPr>
          <w:rFonts w:hint="eastAsia" w:ascii="仿宋_GB2312" w:hAnsi="仿宋"/>
          <w:szCs w:val="32"/>
          <w:highlight w:val="none"/>
          <w:lang w:val="en-US" w:eastAsia="zh-CN"/>
        </w:rPr>
        <w:t>116.76</w:t>
      </w:r>
      <w:r>
        <w:rPr>
          <w:rFonts w:hint="eastAsia" w:ascii="仿宋_GB2312" w:hAnsi="仿宋"/>
          <w:szCs w:val="32"/>
          <w:highlight w:val="none"/>
        </w:rPr>
        <w:t>%，决算数大于预</w:t>
      </w:r>
      <w:r>
        <w:rPr>
          <w:rFonts w:hint="eastAsia" w:ascii="仿宋_GB2312" w:hAnsi="仿宋"/>
          <w:szCs w:val="32"/>
        </w:rPr>
        <w:t>算数的主要原因是</w:t>
      </w:r>
      <w:r>
        <w:rPr>
          <w:rFonts w:hint="eastAsia"/>
          <w:color w:val="auto"/>
          <w:lang w:eastAsia="zh-CN"/>
        </w:rPr>
        <w:t>按照《国务院办公厅关于进一步优化地方政务服务便民热线的指导意见》要求，年中完成32条单位热线归并整合，政府采购增加话务员而追加12345呼叫中心运营外包服务费</w:t>
      </w:r>
      <w:r>
        <w:rPr>
          <w:rFonts w:hint="eastAsia" w:ascii="仿宋_GB2312" w:hAnsi="仿宋"/>
          <w:szCs w:val="32"/>
        </w:rPr>
        <w:t>。</w:t>
      </w:r>
    </w:p>
    <w:p>
      <w:pPr>
        <w:ind w:firstLine="628" w:firstLineChars="200"/>
        <w:rPr>
          <w:rFonts w:hint="eastAsia" w:ascii="仿宋_GB2312" w:hAnsi="仿宋" w:eastAsia="仿宋_GB2312"/>
          <w:szCs w:val="32"/>
          <w:lang w:eastAsia="zh-CN"/>
        </w:rPr>
      </w:pPr>
      <w:r>
        <w:rPr>
          <w:rFonts w:hint="eastAsia" w:ascii="仿宋_GB2312" w:hAnsi="仿宋"/>
          <w:szCs w:val="32"/>
        </w:rPr>
        <w:t>3.</w:t>
      </w:r>
      <w:r>
        <w:rPr>
          <w:rFonts w:hint="eastAsia" w:ascii="仿宋_GB2312" w:hAnsi="仿宋"/>
          <w:b/>
          <w:szCs w:val="32"/>
          <w:highlight w:val="none"/>
        </w:rPr>
        <w:t>一般公共服务（类）政府办公厅（室）及相关机构事务（款）事业运行（项）</w:t>
      </w:r>
      <w:r>
        <w:rPr>
          <w:rFonts w:hint="eastAsia" w:ascii="仿宋_GB2312" w:hAnsi="仿宋"/>
          <w:szCs w:val="32"/>
          <w:highlight w:val="none"/>
        </w:rPr>
        <w:t>。年初预算为</w:t>
      </w:r>
      <w:r>
        <w:rPr>
          <w:rFonts w:hint="eastAsia" w:ascii="仿宋_GB2312" w:hAnsi="仿宋"/>
          <w:szCs w:val="32"/>
          <w:highlight w:val="none"/>
          <w:lang w:val="en-US" w:eastAsia="zh-CN"/>
        </w:rPr>
        <w:t>0</w:t>
      </w:r>
      <w:r>
        <w:rPr>
          <w:rFonts w:hint="eastAsia" w:ascii="仿宋_GB2312" w:hAnsi="仿宋"/>
          <w:szCs w:val="32"/>
          <w:highlight w:val="none"/>
        </w:rPr>
        <w:t>万元，支出决算为</w:t>
      </w:r>
      <w:r>
        <w:rPr>
          <w:rFonts w:hint="eastAsia" w:ascii="仿宋_GB2312" w:hAnsi="仿宋"/>
          <w:szCs w:val="32"/>
          <w:highlight w:val="none"/>
          <w:lang w:val="en-US" w:eastAsia="zh-CN"/>
        </w:rPr>
        <w:t>24.61</w:t>
      </w:r>
      <w:r>
        <w:rPr>
          <w:rFonts w:hint="eastAsia" w:ascii="仿宋_GB2312" w:hAnsi="仿宋"/>
          <w:szCs w:val="32"/>
          <w:highlight w:val="none"/>
        </w:rPr>
        <w:t>万元，决算数大于预</w:t>
      </w:r>
      <w:r>
        <w:rPr>
          <w:rFonts w:hint="eastAsia" w:ascii="仿宋_GB2312" w:hAnsi="仿宋"/>
          <w:szCs w:val="32"/>
        </w:rPr>
        <w:t>算数的主要原因是</w:t>
      </w:r>
      <w:r>
        <w:rPr>
          <w:rFonts w:hint="eastAsia" w:ascii="仿宋_GB2312" w:hAnsi="仿宋"/>
          <w:szCs w:val="32"/>
          <w:lang w:eastAsia="zh-CN"/>
        </w:rPr>
        <w:t>追加非独立核算的下属事业单位人员经费。</w:t>
      </w:r>
    </w:p>
    <w:p>
      <w:pPr>
        <w:ind w:firstLine="628" w:firstLineChars="200"/>
        <w:rPr>
          <w:rFonts w:hint="default" w:ascii="仿宋_GB2312" w:hAnsi="仿宋" w:eastAsia="仿宋_GB2312"/>
          <w:szCs w:val="32"/>
          <w:highlight w:val="none"/>
          <w:lang w:val="en-US" w:eastAsia="zh-CN"/>
        </w:rPr>
      </w:pPr>
      <w:r>
        <w:rPr>
          <w:rFonts w:hint="eastAsia" w:ascii="仿宋_GB2312" w:hAnsi="仿宋"/>
          <w:color w:val="auto"/>
          <w:szCs w:val="32"/>
        </w:rPr>
        <w:t>4.</w:t>
      </w:r>
      <w:r>
        <w:rPr>
          <w:rFonts w:hint="eastAsia" w:ascii="仿宋_GB2312" w:hAnsi="仿宋"/>
          <w:b/>
          <w:szCs w:val="32"/>
          <w:highlight w:val="none"/>
        </w:rPr>
        <w:t>一般公共服务（类）政府办公厅（室）及相关机构事务（款） 其他政府办公厅（室）及相关机构事务支出（项）</w:t>
      </w:r>
      <w:r>
        <w:rPr>
          <w:rFonts w:hint="eastAsia" w:ascii="仿宋_GB2312" w:hAnsi="仿宋"/>
          <w:szCs w:val="32"/>
          <w:highlight w:val="none"/>
        </w:rPr>
        <w:t>。年初预算为</w:t>
      </w:r>
      <w:r>
        <w:rPr>
          <w:rFonts w:hint="eastAsia" w:ascii="仿宋_GB2312" w:hAnsi="仿宋"/>
          <w:szCs w:val="32"/>
          <w:highlight w:val="none"/>
          <w:lang w:val="en-US" w:eastAsia="zh-CN"/>
        </w:rPr>
        <w:t>100</w:t>
      </w:r>
      <w:r>
        <w:rPr>
          <w:rFonts w:hint="eastAsia" w:ascii="仿宋_GB2312" w:hAnsi="仿宋"/>
          <w:szCs w:val="32"/>
          <w:highlight w:val="none"/>
        </w:rPr>
        <w:t>万元，支出决算为</w:t>
      </w:r>
      <w:r>
        <w:rPr>
          <w:rFonts w:hint="eastAsia" w:ascii="仿宋_GB2312" w:hAnsi="仿宋"/>
          <w:szCs w:val="32"/>
          <w:highlight w:val="none"/>
          <w:lang w:val="en-US" w:eastAsia="zh-CN"/>
        </w:rPr>
        <w:t>40.14</w:t>
      </w:r>
      <w:r>
        <w:rPr>
          <w:rFonts w:hint="eastAsia" w:ascii="仿宋_GB2312" w:hAnsi="仿宋"/>
          <w:szCs w:val="32"/>
          <w:highlight w:val="none"/>
        </w:rPr>
        <w:t>万元，完成年初预算的</w:t>
      </w:r>
      <w:r>
        <w:rPr>
          <w:rFonts w:hint="eastAsia" w:ascii="仿宋_GB2312" w:hAnsi="仿宋"/>
          <w:szCs w:val="32"/>
          <w:highlight w:val="none"/>
          <w:lang w:val="en-US" w:eastAsia="zh-CN"/>
        </w:rPr>
        <w:t>40.14</w:t>
      </w:r>
      <w:r>
        <w:rPr>
          <w:rFonts w:hint="eastAsia" w:ascii="仿宋_GB2312" w:hAnsi="仿宋"/>
          <w:szCs w:val="32"/>
          <w:highlight w:val="none"/>
        </w:rPr>
        <w:t>%，决算数</w:t>
      </w:r>
      <w:r>
        <w:rPr>
          <w:rFonts w:hint="eastAsia" w:ascii="仿宋_GB2312" w:hAnsi="仿宋"/>
          <w:szCs w:val="32"/>
          <w:highlight w:val="none"/>
          <w:lang w:eastAsia="zh-CN"/>
        </w:rPr>
        <w:t>小</w:t>
      </w:r>
      <w:r>
        <w:rPr>
          <w:rFonts w:hint="eastAsia" w:ascii="仿宋_GB2312" w:hAnsi="仿宋"/>
          <w:szCs w:val="32"/>
          <w:highlight w:val="none"/>
        </w:rPr>
        <w:t>于预算数的主要原因是</w:t>
      </w:r>
      <w:r>
        <w:rPr>
          <w:rFonts w:hint="eastAsia" w:ascii="仿宋_GB2312" w:hAnsi="仿宋"/>
          <w:szCs w:val="32"/>
          <w:highlight w:val="none"/>
          <w:lang w:eastAsia="zh-CN"/>
        </w:rPr>
        <w:t>政府热线平台升级费用按合同约定支付部分款项。</w:t>
      </w:r>
    </w:p>
    <w:p>
      <w:pPr>
        <w:ind w:firstLine="628" w:firstLineChars="200"/>
        <w:rPr>
          <w:rFonts w:hint="eastAsia" w:ascii="仿宋_GB2312" w:hAnsi="仿宋" w:eastAsia="仿宋_GB2312"/>
          <w:szCs w:val="32"/>
          <w:lang w:eastAsia="zh-CN"/>
        </w:rPr>
      </w:pPr>
      <w:r>
        <w:rPr>
          <w:rFonts w:hint="eastAsia" w:ascii="仿宋_GB2312" w:hAnsi="仿宋"/>
          <w:b w:val="0"/>
          <w:bCs/>
          <w:szCs w:val="32"/>
          <w:lang w:val="en-US" w:eastAsia="zh-CN"/>
        </w:rPr>
        <w:t>5.</w:t>
      </w:r>
      <w:r>
        <w:rPr>
          <w:rFonts w:hint="eastAsia" w:ascii="仿宋_GB2312" w:hAnsi="仿宋"/>
          <w:b/>
          <w:szCs w:val="32"/>
          <w:highlight w:val="none"/>
        </w:rPr>
        <w:t>一般公共服务（类）纪检监察事务（款）事业运行（项）</w:t>
      </w:r>
      <w:r>
        <w:rPr>
          <w:rFonts w:hint="eastAsia" w:ascii="仿宋_GB2312" w:hAnsi="仿宋"/>
          <w:szCs w:val="32"/>
          <w:highlight w:val="none"/>
        </w:rPr>
        <w:t>。年初预算为</w:t>
      </w:r>
      <w:r>
        <w:rPr>
          <w:rFonts w:hint="eastAsia" w:ascii="仿宋_GB2312" w:hAnsi="仿宋"/>
          <w:szCs w:val="32"/>
          <w:highlight w:val="none"/>
          <w:lang w:val="en-US" w:eastAsia="zh-CN"/>
        </w:rPr>
        <w:t>0</w:t>
      </w:r>
      <w:r>
        <w:rPr>
          <w:rFonts w:hint="eastAsia" w:ascii="仿宋_GB2312" w:hAnsi="仿宋"/>
          <w:szCs w:val="32"/>
          <w:highlight w:val="none"/>
        </w:rPr>
        <w:t>万元，支出决算为</w:t>
      </w:r>
      <w:r>
        <w:rPr>
          <w:rFonts w:hint="eastAsia" w:ascii="仿宋_GB2312" w:hAnsi="仿宋"/>
          <w:szCs w:val="32"/>
          <w:highlight w:val="none"/>
          <w:lang w:val="en-US" w:eastAsia="zh-CN"/>
        </w:rPr>
        <w:t>1.24</w:t>
      </w:r>
      <w:r>
        <w:rPr>
          <w:rFonts w:hint="eastAsia" w:ascii="仿宋_GB2312" w:hAnsi="仿宋"/>
          <w:szCs w:val="32"/>
          <w:highlight w:val="none"/>
        </w:rPr>
        <w:t>万元，决算数大于预</w:t>
      </w:r>
      <w:r>
        <w:rPr>
          <w:rFonts w:hint="eastAsia" w:ascii="仿宋_GB2312" w:hAnsi="仿宋"/>
          <w:szCs w:val="32"/>
        </w:rPr>
        <w:t>算数的主要原因是</w:t>
      </w:r>
      <w:r>
        <w:rPr>
          <w:rFonts w:hint="eastAsia" w:ascii="仿宋_GB2312" w:hAnsi="仿宋"/>
          <w:szCs w:val="32"/>
          <w:lang w:eastAsia="zh-CN"/>
        </w:rPr>
        <w:t>追加非独立核算的下属事业单位人员经费。</w:t>
      </w:r>
    </w:p>
    <w:p>
      <w:pPr>
        <w:ind w:firstLine="628" w:firstLineChars="200"/>
        <w:rPr>
          <w:rFonts w:hint="eastAsia" w:ascii="仿宋_GB2312" w:hAnsi="仿宋"/>
          <w:szCs w:val="32"/>
          <w:lang w:eastAsia="zh-CN"/>
        </w:rPr>
      </w:pPr>
      <w:r>
        <w:rPr>
          <w:rFonts w:hint="eastAsia" w:ascii="仿宋_GB2312" w:hAnsi="仿宋"/>
          <w:b w:val="0"/>
          <w:bCs/>
          <w:szCs w:val="32"/>
          <w:highlight w:val="none"/>
          <w:lang w:val="en-US" w:eastAsia="zh-CN"/>
        </w:rPr>
        <w:t>6.</w:t>
      </w:r>
      <w:r>
        <w:rPr>
          <w:rFonts w:hint="eastAsia" w:ascii="仿宋_GB2312" w:hAnsi="仿宋"/>
          <w:b/>
          <w:szCs w:val="32"/>
          <w:highlight w:val="none"/>
        </w:rPr>
        <w:t>一般公共服务（类）其他共产党事务支出（款）其他共产党事务支出（项）</w:t>
      </w:r>
      <w:r>
        <w:rPr>
          <w:rFonts w:hint="eastAsia" w:ascii="仿宋_GB2312" w:hAnsi="仿宋"/>
          <w:szCs w:val="32"/>
          <w:highlight w:val="none"/>
        </w:rPr>
        <w:t>。年初预算为</w:t>
      </w:r>
      <w:r>
        <w:rPr>
          <w:rFonts w:hint="eastAsia" w:ascii="仿宋_GB2312" w:hAnsi="仿宋"/>
          <w:szCs w:val="32"/>
          <w:highlight w:val="none"/>
          <w:lang w:val="en-US" w:eastAsia="zh-CN"/>
        </w:rPr>
        <w:t>4.95</w:t>
      </w:r>
      <w:r>
        <w:rPr>
          <w:rFonts w:hint="eastAsia" w:ascii="仿宋_GB2312" w:hAnsi="仿宋"/>
          <w:szCs w:val="32"/>
          <w:highlight w:val="none"/>
        </w:rPr>
        <w:t>万元，支出决算为</w:t>
      </w:r>
      <w:r>
        <w:rPr>
          <w:rFonts w:hint="eastAsia" w:ascii="仿宋_GB2312" w:hAnsi="仿宋"/>
          <w:szCs w:val="32"/>
          <w:highlight w:val="none"/>
          <w:lang w:val="en-US" w:eastAsia="zh-CN"/>
        </w:rPr>
        <w:t>4.75</w:t>
      </w:r>
      <w:r>
        <w:rPr>
          <w:rFonts w:hint="eastAsia" w:ascii="仿宋_GB2312" w:hAnsi="仿宋"/>
          <w:szCs w:val="32"/>
          <w:highlight w:val="none"/>
        </w:rPr>
        <w:t>万元，完成年初预算的</w:t>
      </w:r>
      <w:r>
        <w:rPr>
          <w:rFonts w:hint="eastAsia" w:ascii="仿宋_GB2312" w:hAnsi="仿宋"/>
          <w:szCs w:val="32"/>
          <w:highlight w:val="none"/>
          <w:lang w:val="en-US" w:eastAsia="zh-CN"/>
        </w:rPr>
        <w:t>95.96</w:t>
      </w:r>
      <w:r>
        <w:rPr>
          <w:rFonts w:hint="eastAsia" w:ascii="仿宋_GB2312" w:hAnsi="仿宋"/>
          <w:szCs w:val="32"/>
          <w:highlight w:val="none"/>
        </w:rPr>
        <w:t>%，</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于预算数的主要原因是</w:t>
      </w:r>
      <w:r>
        <w:rPr>
          <w:rFonts w:hint="eastAsia" w:ascii="仿宋_GB2312" w:hAnsi="仿宋"/>
          <w:szCs w:val="32"/>
          <w:lang w:eastAsia="zh-CN"/>
        </w:rPr>
        <w:t>随着人员变动而减少。</w:t>
      </w:r>
    </w:p>
    <w:p>
      <w:pPr>
        <w:ind w:firstLine="628" w:firstLineChars="200"/>
        <w:rPr>
          <w:rFonts w:hint="eastAsia" w:ascii="仿宋_GB2312" w:hAnsi="仿宋"/>
          <w:szCs w:val="32"/>
          <w:highlight w:val="none"/>
        </w:rPr>
      </w:pPr>
      <w:r>
        <w:rPr>
          <w:rFonts w:hint="eastAsia" w:ascii="仿宋_GB2312" w:hAnsi="仿宋"/>
          <w:szCs w:val="32"/>
          <w:highlight w:val="none"/>
          <w:lang w:val="en-US" w:eastAsia="zh-CN"/>
        </w:rPr>
        <w:t>7</w:t>
      </w:r>
      <w:r>
        <w:rPr>
          <w:rFonts w:hint="eastAsia" w:ascii="仿宋_GB2312" w:hAnsi="仿宋"/>
          <w:szCs w:val="32"/>
          <w:highlight w:val="none"/>
        </w:rPr>
        <w:t>.</w:t>
      </w:r>
      <w:r>
        <w:rPr>
          <w:rFonts w:hint="eastAsia" w:ascii="仿宋_GB2312" w:hAnsi="仿宋"/>
          <w:b/>
          <w:szCs w:val="32"/>
          <w:highlight w:val="none"/>
        </w:rPr>
        <w:t>教育</w:t>
      </w:r>
      <w:r>
        <w:rPr>
          <w:rFonts w:hint="eastAsia" w:ascii="仿宋_GB2312" w:hAnsi="仿宋"/>
          <w:b/>
          <w:szCs w:val="32"/>
          <w:highlight w:val="none"/>
          <w:lang w:eastAsia="zh-CN"/>
        </w:rPr>
        <w:t>支出</w:t>
      </w:r>
      <w:r>
        <w:rPr>
          <w:rFonts w:hint="eastAsia" w:ascii="仿宋_GB2312" w:hAnsi="仿宋"/>
          <w:b/>
          <w:szCs w:val="32"/>
          <w:highlight w:val="none"/>
        </w:rPr>
        <w:t>（类）进修及培训（款）</w:t>
      </w:r>
      <w:r>
        <w:rPr>
          <w:rFonts w:hint="eastAsia" w:ascii="仿宋_GB2312" w:hAnsi="仿宋"/>
          <w:b/>
          <w:szCs w:val="32"/>
          <w:highlight w:val="none"/>
          <w:lang w:eastAsia="zh-CN"/>
        </w:rPr>
        <w:t>干部教育</w:t>
      </w:r>
      <w:r>
        <w:rPr>
          <w:rFonts w:hint="eastAsia" w:ascii="仿宋_GB2312" w:hAnsi="仿宋"/>
          <w:b/>
          <w:szCs w:val="32"/>
          <w:highlight w:val="none"/>
        </w:rPr>
        <w:t>（项）</w:t>
      </w:r>
      <w:r>
        <w:rPr>
          <w:rFonts w:hint="eastAsia" w:ascii="仿宋_GB2312" w:hAnsi="仿宋"/>
          <w:b/>
          <w:color w:val="000000"/>
          <w:szCs w:val="32"/>
          <w:highlight w:val="none"/>
        </w:rPr>
        <w:t>。</w:t>
      </w:r>
      <w:r>
        <w:rPr>
          <w:rFonts w:hint="eastAsia" w:ascii="仿宋_GB2312" w:hAnsi="仿宋"/>
          <w:szCs w:val="32"/>
          <w:highlight w:val="none"/>
        </w:rPr>
        <w:t>年初预算为</w:t>
      </w:r>
      <w:r>
        <w:rPr>
          <w:rFonts w:hint="eastAsia" w:ascii="仿宋_GB2312" w:hAnsi="仿宋"/>
          <w:szCs w:val="32"/>
          <w:highlight w:val="none"/>
          <w:lang w:val="en-US" w:eastAsia="zh-CN"/>
        </w:rPr>
        <w:t>0</w:t>
      </w:r>
      <w:r>
        <w:rPr>
          <w:rFonts w:hint="eastAsia" w:ascii="仿宋_GB2312" w:hAnsi="仿宋"/>
          <w:szCs w:val="32"/>
          <w:highlight w:val="none"/>
        </w:rPr>
        <w:t>万元，支出决算为</w:t>
      </w:r>
      <w:r>
        <w:rPr>
          <w:rFonts w:hint="eastAsia" w:ascii="仿宋_GB2312" w:hAnsi="仿宋"/>
          <w:szCs w:val="32"/>
          <w:highlight w:val="none"/>
          <w:lang w:val="en-US" w:eastAsia="zh-CN"/>
        </w:rPr>
        <w:t>0.74</w:t>
      </w:r>
      <w:r>
        <w:rPr>
          <w:rFonts w:hint="eastAsia" w:ascii="仿宋_GB2312" w:hAnsi="仿宋"/>
          <w:szCs w:val="32"/>
          <w:highlight w:val="none"/>
        </w:rPr>
        <w:t>万元，决算数大于预算数的主要原因是</w:t>
      </w:r>
      <w:r>
        <w:rPr>
          <w:rFonts w:hint="eastAsia" w:ascii="仿宋_GB2312" w:hAnsi="仿宋"/>
          <w:szCs w:val="32"/>
          <w:highlight w:val="none"/>
          <w:lang w:eastAsia="zh-CN"/>
        </w:rPr>
        <w:t>参加省委组织部培训费用</w:t>
      </w:r>
      <w:r>
        <w:rPr>
          <w:rFonts w:hint="eastAsia" w:ascii="仿宋_GB2312" w:hAnsi="仿宋_GB2312" w:cs="仿宋_GB2312"/>
          <w:szCs w:val="32"/>
          <w:lang w:eastAsia="zh-CN"/>
        </w:rPr>
        <w:t>由市委组织部</w:t>
      </w:r>
      <w:r>
        <w:rPr>
          <w:rFonts w:hint="eastAsia" w:ascii="仿宋_GB2312" w:hAnsi="仿宋" w:cs="Times New Roman"/>
          <w:color w:val="auto"/>
          <w:szCs w:val="32"/>
          <w:lang w:eastAsia="zh-CN"/>
        </w:rPr>
        <w:t>统一编制预算</w:t>
      </w:r>
      <w:r>
        <w:rPr>
          <w:rFonts w:hint="eastAsia" w:ascii="仿宋_GB2312" w:hAnsi="仿宋"/>
          <w:szCs w:val="32"/>
          <w:highlight w:val="none"/>
        </w:rPr>
        <w:t>。</w:t>
      </w:r>
    </w:p>
    <w:p>
      <w:pPr>
        <w:ind w:firstLine="628" w:firstLineChars="200"/>
        <w:rPr>
          <w:rFonts w:hint="eastAsia" w:ascii="仿宋_GB2312" w:hAnsi="仿宋" w:eastAsia="仿宋_GB2312" w:cs="Times New Roman"/>
          <w:szCs w:val="32"/>
          <w:lang w:val="en-US" w:eastAsia="zh-CN"/>
        </w:rPr>
      </w:pPr>
      <w:r>
        <w:rPr>
          <w:rFonts w:hint="eastAsia" w:ascii="仿宋_GB2312" w:hAnsi="仿宋"/>
          <w:b w:val="0"/>
          <w:bCs/>
          <w:szCs w:val="32"/>
          <w:lang w:val="en-US" w:eastAsia="zh-CN"/>
        </w:rPr>
        <w:t>8</w:t>
      </w:r>
      <w:r>
        <w:rPr>
          <w:rFonts w:hint="eastAsia" w:ascii="仿宋_GB2312" w:hAnsi="仿宋"/>
          <w:b/>
          <w:szCs w:val="32"/>
          <w:lang w:val="en-US" w:eastAsia="zh-CN"/>
        </w:rPr>
        <w:t>.</w:t>
      </w:r>
      <w:r>
        <w:rPr>
          <w:rFonts w:hint="eastAsia" w:ascii="仿宋_GB2312" w:hAnsi="仿宋"/>
          <w:b/>
          <w:szCs w:val="32"/>
        </w:rPr>
        <w:t>社会保障和就业支出（类）行政事业单位</w:t>
      </w:r>
      <w:r>
        <w:rPr>
          <w:rFonts w:hint="eastAsia" w:ascii="仿宋_GB2312" w:hAnsi="仿宋"/>
          <w:b/>
          <w:szCs w:val="32"/>
          <w:lang w:eastAsia="zh-CN"/>
        </w:rPr>
        <w:t>养老支出</w:t>
      </w:r>
      <w:r>
        <w:rPr>
          <w:rFonts w:hint="eastAsia" w:ascii="仿宋_GB2312" w:hAnsi="仿宋"/>
          <w:b/>
          <w:szCs w:val="32"/>
        </w:rPr>
        <w:t>（款）行政单位离退休（项）</w:t>
      </w:r>
      <w:r>
        <w:rPr>
          <w:rFonts w:hint="eastAsia" w:ascii="仿宋_GB2312" w:hAnsi="仿宋"/>
          <w:szCs w:val="32"/>
        </w:rPr>
        <w:t>。年初预算为1.</w:t>
      </w:r>
      <w:r>
        <w:rPr>
          <w:rFonts w:hint="eastAsia" w:ascii="仿宋_GB2312" w:hAnsi="仿宋"/>
          <w:szCs w:val="32"/>
          <w:lang w:val="en-US" w:eastAsia="zh-CN"/>
        </w:rPr>
        <w:t>9</w:t>
      </w:r>
      <w:r>
        <w:rPr>
          <w:rFonts w:hint="eastAsia" w:ascii="仿宋_GB2312" w:hAnsi="仿宋"/>
          <w:szCs w:val="32"/>
        </w:rPr>
        <w:t>万元，支出决算为</w:t>
      </w:r>
      <w:r>
        <w:rPr>
          <w:rFonts w:hint="eastAsia" w:ascii="仿宋_GB2312" w:hAnsi="仿宋"/>
          <w:szCs w:val="32"/>
          <w:lang w:val="en-US" w:eastAsia="zh-CN"/>
        </w:rPr>
        <w:t>59.43</w:t>
      </w:r>
      <w:r>
        <w:rPr>
          <w:rFonts w:hint="eastAsia" w:ascii="仿宋_GB2312" w:hAnsi="仿宋"/>
          <w:szCs w:val="32"/>
        </w:rPr>
        <w:t>万元，完成年初预算的</w:t>
      </w:r>
      <w:r>
        <w:rPr>
          <w:rFonts w:hint="eastAsia" w:ascii="仿宋_GB2312" w:hAnsi="仿宋"/>
          <w:szCs w:val="32"/>
          <w:lang w:val="en-US" w:eastAsia="zh-CN"/>
        </w:rPr>
        <w:t>3127.89</w:t>
      </w:r>
      <w:r>
        <w:rPr>
          <w:rFonts w:hint="eastAsia" w:ascii="仿宋_GB2312" w:hAnsi="仿宋"/>
          <w:szCs w:val="32"/>
        </w:rPr>
        <w:t>%，决算数大于预算数的主要原因是追加退休人员慰问金</w:t>
      </w:r>
      <w:r>
        <w:rPr>
          <w:rFonts w:hint="eastAsia" w:ascii="仿宋_GB2312" w:hAnsi="仿宋"/>
          <w:szCs w:val="32"/>
          <w:lang w:eastAsia="zh-CN"/>
        </w:rPr>
        <w:t>。</w:t>
      </w:r>
    </w:p>
    <w:p>
      <w:pPr>
        <w:ind w:firstLine="628" w:firstLineChars="200"/>
        <w:rPr>
          <w:rFonts w:hint="eastAsia" w:ascii="仿宋_GB2312" w:hAnsi="仿宋" w:eastAsia="仿宋_GB2312"/>
          <w:color w:val="0000FF"/>
          <w:szCs w:val="32"/>
          <w:lang w:val="en-US" w:eastAsia="zh-CN"/>
        </w:rPr>
      </w:pPr>
      <w:r>
        <w:rPr>
          <w:rFonts w:hint="eastAsia" w:ascii="仿宋_GB2312" w:hAnsi="仿宋" w:cs="Times New Roman"/>
          <w:b w:val="0"/>
          <w:bCs w:val="0"/>
          <w:szCs w:val="32"/>
          <w:lang w:val="en-US" w:eastAsia="zh-CN"/>
        </w:rPr>
        <w:t>9</w:t>
      </w:r>
      <w:r>
        <w:rPr>
          <w:rFonts w:hint="eastAsia" w:ascii="仿宋_GB2312" w:hAnsi="仿宋" w:cs="Times New Roman"/>
          <w:b/>
          <w:bCs/>
          <w:szCs w:val="32"/>
        </w:rPr>
        <w:t>．</w:t>
      </w:r>
      <w:r>
        <w:rPr>
          <w:rFonts w:hint="eastAsia" w:ascii="仿宋_GB2312" w:hAnsi="仿宋"/>
          <w:b/>
          <w:szCs w:val="32"/>
        </w:rPr>
        <w:t>社会保障和就业支出（类）行政事业单位</w:t>
      </w:r>
      <w:r>
        <w:rPr>
          <w:rFonts w:hint="eastAsia" w:ascii="仿宋_GB2312" w:hAnsi="仿宋"/>
          <w:b/>
          <w:szCs w:val="32"/>
          <w:lang w:eastAsia="zh-CN"/>
        </w:rPr>
        <w:t>养老支出</w:t>
      </w:r>
      <w:r>
        <w:rPr>
          <w:rFonts w:hint="eastAsia" w:ascii="仿宋_GB2312" w:hAnsi="仿宋"/>
          <w:b/>
          <w:szCs w:val="32"/>
        </w:rPr>
        <w:t>（款）机关事业单位基本养老保险缴费支出（项）</w:t>
      </w:r>
      <w:r>
        <w:rPr>
          <w:rFonts w:hint="eastAsia" w:ascii="仿宋_GB2312" w:hAnsi="仿宋"/>
          <w:szCs w:val="32"/>
        </w:rPr>
        <w:t>。年初预算为</w:t>
      </w:r>
      <w:r>
        <w:rPr>
          <w:rFonts w:hint="eastAsia" w:ascii="仿宋_GB2312" w:hAnsi="仿宋"/>
          <w:szCs w:val="32"/>
          <w:lang w:val="en-US" w:eastAsia="zh-CN"/>
        </w:rPr>
        <w:t>85.25</w:t>
      </w:r>
      <w:r>
        <w:rPr>
          <w:rFonts w:hint="eastAsia" w:ascii="仿宋_GB2312" w:hAnsi="仿宋"/>
          <w:szCs w:val="32"/>
        </w:rPr>
        <w:t>万元，支出决算为</w:t>
      </w:r>
      <w:r>
        <w:rPr>
          <w:rFonts w:hint="eastAsia" w:ascii="仿宋_GB2312" w:hAnsi="仿宋"/>
          <w:szCs w:val="32"/>
          <w:lang w:val="en-US" w:eastAsia="zh-CN"/>
        </w:rPr>
        <w:t>79.52</w:t>
      </w:r>
      <w:r>
        <w:rPr>
          <w:rFonts w:hint="eastAsia" w:ascii="仿宋_GB2312" w:hAnsi="仿宋"/>
          <w:szCs w:val="32"/>
        </w:rPr>
        <w:t>万元，完成年初预算的</w:t>
      </w:r>
      <w:r>
        <w:rPr>
          <w:rFonts w:hint="eastAsia" w:ascii="仿宋_GB2312" w:hAnsi="仿宋"/>
          <w:szCs w:val="32"/>
          <w:lang w:val="en-US" w:eastAsia="zh-CN"/>
        </w:rPr>
        <w:t>93.27</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于预算数的主要原因是</w:t>
      </w:r>
      <w:r>
        <w:rPr>
          <w:rFonts w:hint="eastAsia" w:ascii="仿宋_GB2312" w:hAnsi="仿宋"/>
          <w:szCs w:val="32"/>
          <w:lang w:eastAsia="zh-CN"/>
        </w:rPr>
        <w:t>随着人员变动而减少。</w:t>
      </w:r>
    </w:p>
    <w:p>
      <w:pPr>
        <w:ind w:firstLine="628" w:firstLineChars="200"/>
        <w:rPr>
          <w:rFonts w:hint="eastAsia" w:ascii="仿宋_GB2312" w:hAnsi="仿宋"/>
          <w:szCs w:val="32"/>
          <w:lang w:eastAsia="zh-CN"/>
        </w:rPr>
      </w:pPr>
      <w:r>
        <w:rPr>
          <w:rFonts w:hint="eastAsia" w:ascii="仿宋_GB2312" w:hAnsi="仿宋"/>
          <w:color w:val="auto"/>
          <w:szCs w:val="32"/>
          <w:lang w:val="en-US" w:eastAsia="zh-CN"/>
        </w:rPr>
        <w:t>10</w:t>
      </w:r>
      <w:r>
        <w:rPr>
          <w:rFonts w:hint="eastAsia" w:ascii="仿宋_GB2312" w:hAnsi="仿宋"/>
          <w:color w:val="auto"/>
          <w:szCs w:val="32"/>
        </w:rPr>
        <w:t>．</w:t>
      </w:r>
      <w:r>
        <w:rPr>
          <w:rFonts w:hint="eastAsia" w:ascii="仿宋_GB2312" w:hAnsi="仿宋"/>
          <w:b/>
          <w:color w:val="auto"/>
          <w:szCs w:val="32"/>
        </w:rPr>
        <w:t>社会保障和就业支出（类）行政事业单位</w:t>
      </w:r>
      <w:r>
        <w:rPr>
          <w:rFonts w:hint="eastAsia" w:ascii="仿宋_GB2312" w:hAnsi="仿宋"/>
          <w:b/>
          <w:color w:val="auto"/>
          <w:szCs w:val="32"/>
          <w:lang w:eastAsia="zh-CN"/>
        </w:rPr>
        <w:t>养老支出</w:t>
      </w:r>
      <w:r>
        <w:rPr>
          <w:rFonts w:hint="eastAsia" w:ascii="仿宋_GB2312" w:hAnsi="仿宋"/>
          <w:b/>
          <w:color w:val="auto"/>
          <w:szCs w:val="32"/>
        </w:rPr>
        <w:t>（款）</w:t>
      </w:r>
      <w:r>
        <w:rPr>
          <w:rFonts w:hint="eastAsia" w:ascii="仿宋_GB2312" w:hAnsi="仿宋"/>
          <w:b/>
          <w:color w:val="auto"/>
          <w:szCs w:val="32"/>
          <w:lang w:eastAsia="zh-CN"/>
        </w:rPr>
        <w:t>机关事业单位职业年金缴费支出</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42.62</w:t>
      </w:r>
      <w:r>
        <w:rPr>
          <w:rFonts w:hint="eastAsia" w:ascii="仿宋_GB2312" w:hAnsi="仿宋"/>
          <w:color w:val="auto"/>
          <w:szCs w:val="32"/>
        </w:rPr>
        <w:t>万元，支出决算为</w:t>
      </w:r>
      <w:r>
        <w:rPr>
          <w:rFonts w:hint="eastAsia" w:ascii="仿宋_GB2312" w:hAnsi="仿宋"/>
          <w:color w:val="auto"/>
          <w:szCs w:val="32"/>
          <w:lang w:val="en-US" w:eastAsia="zh-CN"/>
        </w:rPr>
        <w:t>33.14</w:t>
      </w:r>
      <w:r>
        <w:rPr>
          <w:rFonts w:hint="eastAsia" w:ascii="仿宋_GB2312" w:hAnsi="仿宋"/>
          <w:color w:val="auto"/>
          <w:szCs w:val="32"/>
        </w:rPr>
        <w:t>万元，</w:t>
      </w:r>
      <w:r>
        <w:rPr>
          <w:rFonts w:hint="eastAsia" w:ascii="仿宋_GB2312" w:hAnsi="仿宋"/>
          <w:szCs w:val="32"/>
        </w:rPr>
        <w:t>完成年初预算的</w:t>
      </w:r>
      <w:r>
        <w:rPr>
          <w:rFonts w:hint="eastAsia" w:ascii="仿宋_GB2312" w:hAnsi="仿宋"/>
          <w:szCs w:val="32"/>
          <w:lang w:val="en-US" w:eastAsia="zh-CN"/>
        </w:rPr>
        <w:t>77.76</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于预算数的主要原因是</w:t>
      </w:r>
      <w:r>
        <w:rPr>
          <w:rFonts w:hint="eastAsia" w:ascii="仿宋_GB2312" w:hAnsi="仿宋"/>
          <w:szCs w:val="32"/>
          <w:lang w:eastAsia="zh-CN"/>
        </w:rPr>
        <w:t>追减职业年金缴费支出。</w:t>
      </w:r>
    </w:p>
    <w:p>
      <w:pPr>
        <w:ind w:firstLine="628" w:firstLineChars="200"/>
        <w:rPr>
          <w:rFonts w:hint="eastAsia" w:ascii="仿宋_GB2312" w:hAnsi="仿宋"/>
          <w:szCs w:val="32"/>
        </w:rPr>
      </w:pPr>
      <w:r>
        <w:rPr>
          <w:rFonts w:hint="eastAsia" w:ascii="仿宋_GB2312" w:hAnsi="仿宋"/>
          <w:b w:val="0"/>
          <w:bCs/>
          <w:color w:val="auto"/>
          <w:szCs w:val="32"/>
          <w:lang w:val="en-US" w:eastAsia="zh-CN"/>
        </w:rPr>
        <w:t>11</w:t>
      </w:r>
      <w:r>
        <w:rPr>
          <w:rFonts w:hint="eastAsia" w:ascii="仿宋_GB2312" w:hAnsi="仿宋"/>
          <w:b/>
          <w:color w:val="auto"/>
          <w:szCs w:val="32"/>
          <w:lang w:val="en-US" w:eastAsia="zh-CN"/>
        </w:rPr>
        <w:t>.</w:t>
      </w:r>
      <w:r>
        <w:rPr>
          <w:rFonts w:hint="eastAsia" w:ascii="仿宋_GB2312" w:hAnsi="仿宋"/>
          <w:b/>
          <w:color w:val="auto"/>
          <w:szCs w:val="32"/>
        </w:rPr>
        <w:t>社会</w:t>
      </w:r>
      <w:r>
        <w:rPr>
          <w:rFonts w:hint="eastAsia" w:ascii="仿宋_GB2312" w:hAnsi="仿宋"/>
          <w:b/>
          <w:szCs w:val="32"/>
        </w:rPr>
        <w:t>保障和就业支出（类）</w:t>
      </w:r>
      <w:r>
        <w:rPr>
          <w:rFonts w:hint="eastAsia" w:ascii="仿宋_GB2312" w:hAnsi="仿宋"/>
          <w:b/>
          <w:szCs w:val="32"/>
          <w:lang w:eastAsia="zh-CN"/>
        </w:rPr>
        <w:t>抚恤</w:t>
      </w:r>
      <w:r>
        <w:rPr>
          <w:rFonts w:hint="eastAsia" w:ascii="仿宋_GB2312" w:hAnsi="仿宋"/>
          <w:b/>
          <w:szCs w:val="32"/>
        </w:rPr>
        <w:t>（款）</w:t>
      </w:r>
      <w:r>
        <w:rPr>
          <w:rFonts w:hint="eastAsia" w:ascii="仿宋_GB2312" w:hAnsi="仿宋"/>
          <w:b/>
          <w:szCs w:val="32"/>
          <w:lang w:eastAsia="zh-CN"/>
        </w:rPr>
        <w:t>死亡抚恤</w:t>
      </w:r>
      <w:r>
        <w:rPr>
          <w:rFonts w:hint="eastAsia" w:ascii="仿宋_GB2312" w:hAnsi="仿宋"/>
          <w:b/>
          <w:szCs w:val="32"/>
        </w:rPr>
        <w:t>（项）。</w:t>
      </w:r>
      <w:r>
        <w:rPr>
          <w:rFonts w:hint="eastAsia" w:ascii="仿宋_GB2312" w:hAnsi="仿宋"/>
          <w:szCs w:val="32"/>
        </w:rPr>
        <w:t>年初预算为0万元，支出决算为</w:t>
      </w:r>
      <w:r>
        <w:rPr>
          <w:rFonts w:hint="eastAsia" w:ascii="仿宋_GB2312" w:hAnsi="仿宋"/>
          <w:szCs w:val="32"/>
          <w:lang w:val="en-US" w:eastAsia="zh-CN"/>
        </w:rPr>
        <w:t>44.22</w:t>
      </w:r>
      <w:r>
        <w:rPr>
          <w:rFonts w:hint="eastAsia" w:ascii="仿宋_GB2312" w:hAnsi="仿宋"/>
          <w:szCs w:val="32"/>
        </w:rPr>
        <w:t>万元，决算数大于预算数的主要原因是追加</w:t>
      </w:r>
      <w:r>
        <w:rPr>
          <w:rFonts w:hint="eastAsia" w:ascii="仿宋_GB2312" w:hAnsi="仿宋"/>
          <w:szCs w:val="32"/>
          <w:lang w:eastAsia="zh-CN"/>
        </w:rPr>
        <w:t>死亡人员抚恤金支出</w:t>
      </w:r>
      <w:r>
        <w:rPr>
          <w:rFonts w:hint="eastAsia" w:ascii="仿宋_GB2312" w:hAnsi="仿宋"/>
          <w:szCs w:val="32"/>
        </w:rPr>
        <w:t>。</w:t>
      </w:r>
    </w:p>
    <w:p>
      <w:pPr>
        <w:ind w:firstLine="628" w:firstLineChars="200"/>
        <w:rPr>
          <w:rFonts w:hint="eastAsia" w:ascii="仿宋_GB2312" w:hAnsi="仿宋" w:eastAsia="仿宋_GB2312"/>
          <w:szCs w:val="32"/>
          <w:lang w:eastAsia="zh-CN"/>
        </w:rPr>
      </w:pPr>
      <w:r>
        <w:rPr>
          <w:rFonts w:hint="eastAsia" w:ascii="仿宋_GB2312" w:hAnsi="仿宋"/>
          <w:b w:val="0"/>
          <w:bCs/>
          <w:szCs w:val="32"/>
          <w:lang w:val="en-US" w:eastAsia="zh-CN"/>
        </w:rPr>
        <w:t>12.</w:t>
      </w:r>
      <w:r>
        <w:rPr>
          <w:rFonts w:hint="eastAsia" w:ascii="仿宋_GB2312" w:hAnsi="仿宋"/>
          <w:b/>
          <w:szCs w:val="32"/>
          <w:lang w:eastAsia="zh-CN"/>
        </w:rPr>
        <w:t>卫生健康支出</w:t>
      </w:r>
      <w:r>
        <w:rPr>
          <w:rFonts w:hint="eastAsia" w:ascii="仿宋_GB2312" w:hAnsi="仿宋"/>
          <w:b/>
          <w:szCs w:val="32"/>
        </w:rPr>
        <w:t>（类）</w:t>
      </w:r>
      <w:r>
        <w:rPr>
          <w:rFonts w:hint="eastAsia" w:ascii="仿宋_GB2312" w:hAnsi="仿宋"/>
          <w:b/>
          <w:szCs w:val="32"/>
          <w:lang w:eastAsia="zh-CN"/>
        </w:rPr>
        <w:t>行政事业单位</w:t>
      </w:r>
      <w:r>
        <w:rPr>
          <w:rFonts w:hint="eastAsia" w:ascii="仿宋_GB2312" w:hAnsi="仿宋"/>
          <w:b/>
          <w:szCs w:val="32"/>
        </w:rPr>
        <w:t>医疗（款）行政单位医疗（项）</w:t>
      </w:r>
      <w:r>
        <w:rPr>
          <w:rFonts w:hint="eastAsia" w:ascii="仿宋_GB2312" w:hAnsi="仿宋"/>
          <w:szCs w:val="32"/>
        </w:rPr>
        <w:t>。年初预算为</w:t>
      </w:r>
      <w:r>
        <w:rPr>
          <w:rFonts w:hint="eastAsia" w:ascii="仿宋_GB2312" w:hAnsi="仿宋"/>
          <w:szCs w:val="32"/>
          <w:lang w:val="en-US" w:eastAsia="zh-CN"/>
        </w:rPr>
        <w:t>45.95</w:t>
      </w:r>
      <w:r>
        <w:rPr>
          <w:rFonts w:hint="eastAsia" w:ascii="仿宋_GB2312" w:hAnsi="仿宋"/>
          <w:szCs w:val="32"/>
        </w:rPr>
        <w:t>万元，支出决算为</w:t>
      </w:r>
      <w:r>
        <w:rPr>
          <w:rFonts w:hint="eastAsia" w:ascii="仿宋_GB2312" w:hAnsi="仿宋"/>
          <w:szCs w:val="32"/>
          <w:lang w:val="en-US" w:eastAsia="zh-CN"/>
        </w:rPr>
        <w:t>41.50万元</w:t>
      </w:r>
      <w:r>
        <w:rPr>
          <w:rFonts w:hint="eastAsia" w:ascii="仿宋_GB2312" w:hAnsi="仿宋"/>
          <w:szCs w:val="32"/>
        </w:rPr>
        <w:t>，完成年初预算的</w:t>
      </w:r>
      <w:r>
        <w:rPr>
          <w:rFonts w:hint="eastAsia" w:ascii="仿宋_GB2312" w:hAnsi="仿宋"/>
          <w:szCs w:val="32"/>
          <w:lang w:val="en-US" w:eastAsia="zh-CN"/>
        </w:rPr>
        <w:t>90.32</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于预算数的主要原因是</w:t>
      </w:r>
      <w:r>
        <w:rPr>
          <w:rFonts w:hint="eastAsia" w:ascii="仿宋_GB2312" w:hAnsi="仿宋"/>
          <w:szCs w:val="32"/>
          <w:lang w:eastAsia="zh-CN"/>
        </w:rPr>
        <w:t>随着人员变动而减少。</w:t>
      </w:r>
    </w:p>
    <w:p>
      <w:pPr>
        <w:ind w:firstLine="628" w:firstLineChars="200"/>
        <w:rPr>
          <w:rFonts w:hint="eastAsia" w:ascii="仿宋_GB2312" w:hAnsi="仿宋"/>
          <w:szCs w:val="32"/>
          <w:lang w:eastAsia="zh-CN"/>
        </w:rPr>
      </w:pPr>
      <w:r>
        <w:rPr>
          <w:rFonts w:hint="eastAsia" w:ascii="仿宋_GB2312" w:hAnsi="仿宋"/>
          <w:b w:val="0"/>
          <w:bCs/>
          <w:szCs w:val="32"/>
          <w:lang w:val="en-US" w:eastAsia="zh-CN"/>
        </w:rPr>
        <w:t>13.</w:t>
      </w:r>
      <w:r>
        <w:rPr>
          <w:rFonts w:hint="eastAsia" w:ascii="仿宋_GB2312" w:hAnsi="仿宋"/>
          <w:b/>
          <w:szCs w:val="32"/>
          <w:lang w:eastAsia="zh-CN"/>
        </w:rPr>
        <w:t>卫生健康支出</w:t>
      </w:r>
      <w:r>
        <w:rPr>
          <w:rFonts w:hint="eastAsia" w:ascii="仿宋_GB2312" w:hAnsi="仿宋"/>
          <w:b/>
          <w:szCs w:val="32"/>
        </w:rPr>
        <w:t>（类）</w:t>
      </w:r>
      <w:r>
        <w:rPr>
          <w:rFonts w:hint="eastAsia" w:ascii="仿宋_GB2312" w:hAnsi="仿宋"/>
          <w:b/>
          <w:szCs w:val="32"/>
          <w:lang w:eastAsia="zh-CN"/>
        </w:rPr>
        <w:t>行政事业单位</w:t>
      </w:r>
      <w:r>
        <w:rPr>
          <w:rFonts w:hint="eastAsia" w:ascii="仿宋_GB2312" w:hAnsi="仿宋"/>
          <w:b/>
          <w:szCs w:val="32"/>
        </w:rPr>
        <w:t>医疗（款）事业单位医疗（项）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1.85万元，</w:t>
      </w:r>
      <w:r>
        <w:rPr>
          <w:rFonts w:hint="eastAsia" w:ascii="仿宋_GB2312" w:hAnsi="仿宋"/>
          <w:szCs w:val="32"/>
        </w:rPr>
        <w:t>决算数</w:t>
      </w:r>
      <w:r>
        <w:rPr>
          <w:rFonts w:hint="eastAsia" w:ascii="仿宋_GB2312" w:hAnsi="仿宋"/>
          <w:szCs w:val="32"/>
          <w:lang w:eastAsia="zh-CN"/>
        </w:rPr>
        <w:t>大</w:t>
      </w:r>
      <w:r>
        <w:rPr>
          <w:rFonts w:hint="eastAsia" w:ascii="仿宋_GB2312" w:hAnsi="仿宋"/>
          <w:szCs w:val="32"/>
        </w:rPr>
        <w:t>于预算数的主要原因是</w:t>
      </w:r>
      <w:r>
        <w:rPr>
          <w:rFonts w:hint="eastAsia" w:ascii="仿宋_GB2312" w:hAnsi="仿宋"/>
          <w:szCs w:val="32"/>
          <w:lang w:eastAsia="zh-CN"/>
        </w:rPr>
        <w:t>追加非独立核算的下属事业单位人员医保。</w:t>
      </w:r>
    </w:p>
    <w:p>
      <w:pPr>
        <w:ind w:firstLine="628" w:firstLineChars="200"/>
        <w:rPr>
          <w:rFonts w:hint="eastAsia" w:ascii="仿宋_GB2312" w:hAnsi="仿宋"/>
          <w:szCs w:val="32"/>
          <w:lang w:eastAsia="zh-CN"/>
        </w:rPr>
      </w:pPr>
      <w:r>
        <w:rPr>
          <w:rFonts w:hint="eastAsia" w:ascii="仿宋_GB2312" w:hAnsi="仿宋"/>
          <w:b w:val="0"/>
          <w:bCs/>
          <w:szCs w:val="32"/>
          <w:lang w:val="en-US" w:eastAsia="zh-CN"/>
        </w:rPr>
        <w:t>14.</w:t>
      </w:r>
      <w:r>
        <w:rPr>
          <w:rFonts w:hint="eastAsia" w:ascii="仿宋_GB2312" w:hAnsi="仿宋"/>
          <w:b/>
          <w:szCs w:val="32"/>
          <w:lang w:eastAsia="zh-CN"/>
        </w:rPr>
        <w:t>农林水支出</w:t>
      </w:r>
      <w:r>
        <w:rPr>
          <w:rFonts w:hint="eastAsia" w:ascii="仿宋_GB2312" w:hAnsi="仿宋"/>
          <w:b/>
          <w:szCs w:val="32"/>
        </w:rPr>
        <w:t>（类）</w:t>
      </w:r>
      <w:r>
        <w:rPr>
          <w:rFonts w:hint="eastAsia" w:ascii="仿宋_GB2312" w:hAnsi="仿宋"/>
          <w:b/>
          <w:szCs w:val="32"/>
          <w:lang w:eastAsia="zh-CN"/>
        </w:rPr>
        <w:t>扶贫</w:t>
      </w:r>
      <w:r>
        <w:rPr>
          <w:rFonts w:hint="eastAsia" w:ascii="仿宋_GB2312" w:hAnsi="仿宋"/>
          <w:b/>
          <w:szCs w:val="32"/>
        </w:rPr>
        <w:t>（款）其他扶贫支出（项）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1.84万元，</w:t>
      </w:r>
      <w:r>
        <w:rPr>
          <w:rFonts w:hint="eastAsia" w:ascii="仿宋_GB2312" w:hAnsi="仿宋"/>
          <w:szCs w:val="32"/>
        </w:rPr>
        <w:t>决算数</w:t>
      </w:r>
      <w:r>
        <w:rPr>
          <w:rFonts w:hint="eastAsia" w:ascii="仿宋_GB2312" w:hAnsi="仿宋"/>
          <w:szCs w:val="32"/>
          <w:lang w:eastAsia="zh-CN"/>
        </w:rPr>
        <w:t>大</w:t>
      </w:r>
      <w:r>
        <w:rPr>
          <w:rFonts w:hint="eastAsia" w:ascii="仿宋_GB2312" w:hAnsi="仿宋"/>
          <w:szCs w:val="32"/>
        </w:rPr>
        <w:t>于预算数的主要原因是</w:t>
      </w:r>
      <w:r>
        <w:rPr>
          <w:rFonts w:hint="eastAsia" w:ascii="仿宋_GB2312" w:hAnsi="仿宋"/>
          <w:szCs w:val="32"/>
          <w:lang w:eastAsia="zh-CN"/>
        </w:rPr>
        <w:t>追加选派驻村干部生活补助。</w:t>
      </w:r>
    </w:p>
    <w:p>
      <w:pPr>
        <w:ind w:firstLine="628" w:firstLineChars="200"/>
        <w:rPr>
          <w:rFonts w:hint="eastAsia" w:ascii="仿宋_GB2312" w:hAnsi="仿宋"/>
          <w:szCs w:val="32"/>
          <w:lang w:eastAsia="zh-CN"/>
        </w:rPr>
      </w:pPr>
      <w:r>
        <w:rPr>
          <w:rFonts w:hint="eastAsia" w:ascii="仿宋_GB2312" w:hAnsi="仿宋"/>
          <w:b w:val="0"/>
          <w:bCs/>
          <w:szCs w:val="32"/>
          <w:lang w:val="en-US" w:eastAsia="zh-CN"/>
        </w:rPr>
        <w:t>15.</w:t>
      </w:r>
      <w:r>
        <w:rPr>
          <w:rFonts w:hint="eastAsia" w:ascii="仿宋_GB2312" w:hAnsi="仿宋"/>
          <w:b/>
          <w:szCs w:val="32"/>
          <w:lang w:eastAsia="zh-CN"/>
        </w:rPr>
        <w:t>资源勘探工业信息等支出</w:t>
      </w:r>
      <w:r>
        <w:rPr>
          <w:rFonts w:hint="eastAsia" w:ascii="仿宋_GB2312" w:hAnsi="仿宋"/>
          <w:b/>
          <w:szCs w:val="32"/>
        </w:rPr>
        <w:t>（类）</w:t>
      </w:r>
      <w:r>
        <w:rPr>
          <w:rFonts w:hint="eastAsia" w:ascii="仿宋_GB2312" w:hAnsi="仿宋"/>
          <w:b/>
          <w:szCs w:val="32"/>
          <w:lang w:eastAsia="zh-CN"/>
        </w:rPr>
        <w:t>工业和信息产业监管</w:t>
      </w:r>
      <w:r>
        <w:rPr>
          <w:rFonts w:hint="eastAsia" w:ascii="仿宋_GB2312" w:hAnsi="仿宋"/>
          <w:b/>
          <w:szCs w:val="32"/>
        </w:rPr>
        <w:t>（款）其他工业和信息产业监管支出（项）</w:t>
      </w:r>
      <w:r>
        <w:rPr>
          <w:rFonts w:hint="eastAsia" w:ascii="仿宋_GB2312" w:hAnsi="仿宋"/>
          <w:szCs w:val="32"/>
        </w:rPr>
        <w:t>。</w:t>
      </w:r>
      <w:r>
        <w:rPr>
          <w:rFonts w:hint="eastAsia" w:ascii="仿宋_GB2312" w:hAnsi="仿宋"/>
          <w:szCs w:val="32"/>
          <w:lang w:eastAsia="zh-CN"/>
        </w:rPr>
        <w:t>年初预算为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25万元，</w:t>
      </w:r>
      <w:r>
        <w:rPr>
          <w:rFonts w:hint="eastAsia" w:ascii="仿宋_GB2312" w:hAnsi="仿宋"/>
          <w:szCs w:val="32"/>
          <w:lang w:eastAsia="zh-CN"/>
        </w:rPr>
        <w:t>决算数大于预算数的主要原因是追加“四送一服”双千工作费。</w:t>
      </w:r>
    </w:p>
    <w:p>
      <w:pPr>
        <w:ind w:firstLine="628" w:firstLineChars="200"/>
        <w:rPr>
          <w:rFonts w:hint="eastAsia" w:ascii="仿宋_GB2312" w:hAnsi="仿宋"/>
          <w:szCs w:val="32"/>
        </w:rPr>
      </w:pPr>
      <w:r>
        <w:rPr>
          <w:rFonts w:hint="eastAsia" w:ascii="仿宋_GB2312" w:hAnsi="仿宋"/>
          <w:szCs w:val="32"/>
          <w:lang w:val="en-US" w:eastAsia="zh-CN"/>
        </w:rPr>
        <w:t>16</w:t>
      </w:r>
      <w:r>
        <w:rPr>
          <w:rFonts w:hint="eastAsia" w:ascii="仿宋_GB2312" w:hAnsi="仿宋"/>
          <w:szCs w:val="32"/>
        </w:rPr>
        <w:t>.</w:t>
      </w:r>
      <w:r>
        <w:rPr>
          <w:rFonts w:hint="eastAsia" w:ascii="仿宋_GB2312" w:hAnsi="仿宋"/>
          <w:b/>
          <w:szCs w:val="32"/>
        </w:rPr>
        <w:t>住房保障支出（类）住房改革支出（款）住房公积金（项）</w:t>
      </w:r>
      <w:r>
        <w:rPr>
          <w:rFonts w:hint="eastAsia" w:ascii="仿宋_GB2312" w:hAnsi="仿宋"/>
          <w:szCs w:val="32"/>
        </w:rPr>
        <w:t>。年初预算为</w:t>
      </w:r>
      <w:r>
        <w:rPr>
          <w:rFonts w:hint="eastAsia" w:ascii="仿宋_GB2312" w:hAnsi="仿宋"/>
          <w:szCs w:val="32"/>
          <w:lang w:val="en-US" w:eastAsia="zh-CN"/>
        </w:rPr>
        <w:t>101.34</w:t>
      </w:r>
      <w:r>
        <w:rPr>
          <w:rFonts w:hint="eastAsia" w:ascii="仿宋_GB2312" w:hAnsi="仿宋"/>
          <w:szCs w:val="32"/>
        </w:rPr>
        <w:t>万元，支出决算为</w:t>
      </w:r>
      <w:r>
        <w:rPr>
          <w:rFonts w:hint="eastAsia" w:ascii="仿宋_GB2312" w:hAnsi="仿宋"/>
          <w:szCs w:val="32"/>
          <w:lang w:val="en-US" w:eastAsia="zh-CN"/>
        </w:rPr>
        <w:t>97.72</w:t>
      </w:r>
      <w:r>
        <w:rPr>
          <w:rFonts w:hint="eastAsia" w:ascii="仿宋_GB2312" w:hAnsi="仿宋"/>
          <w:szCs w:val="32"/>
        </w:rPr>
        <w:t>万元，完成年初预算的</w:t>
      </w:r>
      <w:r>
        <w:rPr>
          <w:rFonts w:hint="eastAsia" w:ascii="仿宋_GB2312" w:hAnsi="仿宋"/>
          <w:szCs w:val="32"/>
          <w:lang w:val="en-US" w:eastAsia="zh-CN"/>
        </w:rPr>
        <w:t>96.43</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于预算数的主要原因是</w:t>
      </w:r>
      <w:r>
        <w:rPr>
          <w:rFonts w:hint="eastAsia" w:ascii="仿宋_GB2312" w:hAnsi="仿宋"/>
          <w:szCs w:val="32"/>
          <w:lang w:eastAsia="zh-CN"/>
        </w:rPr>
        <w:t>随着人员变动而减少。</w:t>
      </w:r>
    </w:p>
    <w:p>
      <w:pPr>
        <w:ind w:firstLine="628" w:firstLineChars="200"/>
        <w:rPr>
          <w:rFonts w:hint="eastAsia" w:ascii="楷体_GB2312" w:hAnsi="仿宋" w:eastAsia="楷体_GB2312"/>
          <w:color w:val="C00000"/>
          <w:szCs w:val="32"/>
        </w:rPr>
      </w:pPr>
      <w:r>
        <w:rPr>
          <w:rFonts w:hint="eastAsia" w:ascii="仿宋_GB2312" w:hAnsi="仿宋"/>
          <w:szCs w:val="32"/>
          <w:lang w:val="en-US" w:eastAsia="zh-CN"/>
        </w:rPr>
        <w:t>17</w:t>
      </w:r>
      <w:r>
        <w:rPr>
          <w:rFonts w:hint="eastAsia" w:ascii="仿宋_GB2312" w:hAnsi="仿宋"/>
          <w:szCs w:val="32"/>
        </w:rPr>
        <w:t>.</w:t>
      </w:r>
      <w:r>
        <w:rPr>
          <w:rFonts w:hint="eastAsia" w:ascii="仿宋_GB2312" w:hAnsi="仿宋"/>
          <w:b/>
          <w:szCs w:val="32"/>
        </w:rPr>
        <w:t>住房保障支出（类）住房改革支出（款）提租补贴（项）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44.03</w:t>
      </w:r>
      <w:r>
        <w:rPr>
          <w:rFonts w:hint="eastAsia" w:ascii="仿宋_GB2312" w:hAnsi="仿宋"/>
          <w:szCs w:val="32"/>
        </w:rPr>
        <w:t>万元，决算数</w:t>
      </w:r>
      <w:r>
        <w:rPr>
          <w:rFonts w:hint="eastAsia" w:ascii="仿宋_GB2312" w:hAnsi="仿宋"/>
          <w:szCs w:val="32"/>
          <w:lang w:eastAsia="zh-CN"/>
        </w:rPr>
        <w:t>大</w:t>
      </w:r>
      <w:r>
        <w:rPr>
          <w:rFonts w:hint="eastAsia" w:ascii="仿宋_GB2312" w:hAnsi="仿宋"/>
          <w:szCs w:val="32"/>
        </w:rPr>
        <w:t>于预算数的主要原因是</w:t>
      </w:r>
      <w:r>
        <w:rPr>
          <w:rFonts w:hint="eastAsia" w:ascii="仿宋_GB2312" w:hAnsi="仿宋"/>
          <w:szCs w:val="32"/>
          <w:lang w:eastAsia="zh-CN"/>
        </w:rPr>
        <w:t>追加提租补贴支出。</w:t>
      </w:r>
    </w:p>
    <w:p>
      <w:pPr>
        <w:ind w:firstLine="628" w:firstLineChars="200"/>
        <w:rPr>
          <w:rFonts w:hint="eastAsia" w:ascii="黑体" w:hAnsi="仿宋" w:eastAsia="黑体"/>
          <w:szCs w:val="32"/>
        </w:rPr>
      </w:pPr>
      <w:r>
        <w:rPr>
          <w:rFonts w:hint="eastAsia" w:ascii="黑体" w:hAnsi="仿宋" w:eastAsia="黑体"/>
          <w:szCs w:val="32"/>
        </w:rPr>
        <w:t>六、一般公共预算财政拨款基本支出决算情况说明</w:t>
      </w:r>
    </w:p>
    <w:p>
      <w:pPr>
        <w:ind w:firstLine="628" w:firstLineChars="200"/>
        <w:rPr>
          <w:rFonts w:hint="eastAsia" w:ascii="楷体_GB2312" w:hAnsi="仿宋" w:eastAsia="楷体_GB2312"/>
          <w:color w:val="C00000"/>
          <w:szCs w:val="32"/>
        </w:rPr>
      </w:pPr>
      <w:r>
        <w:rPr>
          <w:rFonts w:hint="eastAsia" w:ascii="仿宋_GB2312" w:hAnsi="仿宋"/>
          <w:szCs w:val="32"/>
          <w:lang w:eastAsia="zh-CN"/>
        </w:rPr>
        <w:t>2021</w:t>
      </w:r>
      <w:r>
        <w:rPr>
          <w:rFonts w:hint="eastAsia" w:ascii="仿宋_GB2312" w:hAnsi="仿宋"/>
          <w:szCs w:val="32"/>
        </w:rPr>
        <w:t>年度财政拨款基本支出</w:t>
      </w:r>
      <w:r>
        <w:rPr>
          <w:rFonts w:hint="eastAsia" w:ascii="仿宋_GB2312" w:hAnsi="仿宋"/>
          <w:szCs w:val="32"/>
          <w:lang w:val="en-US" w:eastAsia="zh-CN"/>
        </w:rPr>
        <w:t>1651.10</w:t>
      </w:r>
      <w:r>
        <w:rPr>
          <w:rFonts w:hint="eastAsia" w:ascii="仿宋_GB2312" w:hAnsi="仿宋"/>
          <w:szCs w:val="32"/>
        </w:rPr>
        <w:t>万元，其中</w:t>
      </w:r>
      <w:r>
        <w:rPr>
          <w:rFonts w:hint="eastAsia" w:ascii="仿宋_GB2312" w:hAnsi="仿宋"/>
          <w:color w:val="000000"/>
          <w:szCs w:val="32"/>
        </w:rPr>
        <w:t>：</w:t>
      </w:r>
      <w:r>
        <w:rPr>
          <w:rFonts w:hint="eastAsia" w:ascii="仿宋_GB2312" w:hAnsi="仿宋"/>
          <w:szCs w:val="32"/>
        </w:rPr>
        <w:t>人员经费1462.61万元，主要包括:基本工资、津</w:t>
      </w:r>
      <w:r>
        <w:rPr>
          <w:rFonts w:hint="eastAsia" w:ascii="仿宋_GB2312" w:hAnsi="仿宋"/>
          <w:color w:val="auto"/>
          <w:szCs w:val="32"/>
        </w:rPr>
        <w:t>贴补贴、奖金、伙食补助费、绩效工资、机关事业单位基本养老保险</w:t>
      </w:r>
      <w:r>
        <w:rPr>
          <w:rFonts w:hint="eastAsia" w:ascii="仿宋_GB2312" w:hAnsi="仿宋"/>
          <w:color w:val="auto"/>
          <w:szCs w:val="32"/>
          <w:lang w:eastAsia="zh-CN"/>
        </w:rPr>
        <w:t>缴</w:t>
      </w:r>
      <w:r>
        <w:rPr>
          <w:rFonts w:hint="eastAsia" w:ascii="仿宋_GB2312" w:hAnsi="仿宋"/>
          <w:color w:val="auto"/>
          <w:szCs w:val="32"/>
        </w:rPr>
        <w:t>费、职业年金缴费、职工基本医疗保险缴费、公务员医疗补助缴费、其</w:t>
      </w:r>
      <w:r>
        <w:rPr>
          <w:rFonts w:hint="eastAsia" w:ascii="仿宋_GB2312" w:hAnsi="仿宋"/>
          <w:szCs w:val="32"/>
        </w:rPr>
        <w:t>他社会保障缴费、住房公积金、其他工资福利支出、退休费、退职（役）费、抚恤金、生活补助、奖励金、</w:t>
      </w:r>
      <w:r>
        <w:rPr>
          <w:rFonts w:hint="eastAsia" w:ascii="仿宋_GB2312" w:hAnsi="仿宋"/>
          <w:szCs w:val="32"/>
          <w:lang w:eastAsia="zh-CN"/>
        </w:rPr>
        <w:t>其他对个人和家庭的补助支出</w:t>
      </w:r>
      <w:r>
        <w:rPr>
          <w:rFonts w:hint="eastAsia" w:ascii="仿宋_GB2312" w:hAnsi="仿宋"/>
          <w:szCs w:val="32"/>
        </w:rPr>
        <w:t>；公用经费</w:t>
      </w:r>
      <w:r>
        <w:rPr>
          <w:rFonts w:hint="eastAsia" w:ascii="仿宋_GB2312" w:hAnsi="仿宋"/>
          <w:szCs w:val="32"/>
          <w:lang w:val="en-US" w:eastAsia="zh-CN"/>
        </w:rPr>
        <w:t>188.49</w:t>
      </w:r>
      <w:r>
        <w:rPr>
          <w:rFonts w:hint="eastAsia" w:ascii="仿宋_GB2312" w:hAnsi="仿宋"/>
          <w:szCs w:val="32"/>
        </w:rPr>
        <w:t>万元，主要包括：办公费、印刷费、</w:t>
      </w:r>
      <w:r>
        <w:rPr>
          <w:rFonts w:hint="eastAsia" w:ascii="仿宋_GB2312" w:hAnsi="仿宋"/>
          <w:color w:val="auto"/>
          <w:szCs w:val="32"/>
        </w:rPr>
        <w:t>邮电费、差旅费、维修（护）费、培训费、公务接待费、</w:t>
      </w:r>
      <w:r>
        <w:rPr>
          <w:rFonts w:hint="eastAsia" w:ascii="仿宋_GB2312" w:hAnsi="仿宋"/>
          <w:szCs w:val="32"/>
        </w:rPr>
        <w:t>劳务费、工会经费、福利费、公务用车运行维护费、其他交通费用、</w:t>
      </w:r>
      <w:r>
        <w:rPr>
          <w:rFonts w:hint="eastAsia" w:ascii="仿宋_GB2312" w:hAnsi="仿宋"/>
          <w:szCs w:val="32"/>
          <w:lang w:eastAsia="zh-CN"/>
        </w:rPr>
        <w:t>其他商品和服务支出</w:t>
      </w:r>
      <w:r>
        <w:rPr>
          <w:rFonts w:hint="eastAsia" w:ascii="仿宋_GB2312" w:hAnsi="仿宋"/>
          <w:szCs w:val="32"/>
        </w:rPr>
        <w:t>等。</w:t>
      </w:r>
    </w:p>
    <w:p>
      <w:pPr>
        <w:ind w:firstLine="628" w:firstLineChars="200"/>
        <w:rPr>
          <w:rFonts w:hint="eastAsia" w:ascii="黑体" w:hAnsi="黑体" w:eastAsia="黑体"/>
          <w:szCs w:val="32"/>
        </w:rPr>
      </w:pPr>
      <w:r>
        <w:rPr>
          <w:rFonts w:hint="eastAsia" w:ascii="黑体" w:hAnsi="仿宋" w:eastAsia="黑体"/>
          <w:szCs w:val="32"/>
        </w:rPr>
        <w:t>七、</w:t>
      </w:r>
      <w:r>
        <w:rPr>
          <w:rFonts w:hint="eastAsia" w:ascii="黑体" w:hAnsi="黑体" w:eastAsia="黑体"/>
          <w:szCs w:val="32"/>
        </w:rPr>
        <w:t>政府性基</w:t>
      </w:r>
      <w:r>
        <w:rPr>
          <w:rFonts w:hint="eastAsia" w:ascii="黑体" w:hAnsi="黑体" w:eastAsia="黑体"/>
          <w:color w:val="auto"/>
          <w:szCs w:val="32"/>
        </w:rPr>
        <w:t>金</w:t>
      </w:r>
      <w:r>
        <w:rPr>
          <w:rFonts w:hint="eastAsia" w:ascii="黑体" w:hAnsi="黑体" w:eastAsia="黑体"/>
          <w:color w:val="auto"/>
          <w:szCs w:val="32"/>
          <w:lang w:eastAsia="zh-CN"/>
        </w:rPr>
        <w:t>预算</w:t>
      </w:r>
      <w:r>
        <w:rPr>
          <w:rFonts w:hint="eastAsia" w:ascii="黑体" w:hAnsi="黑体" w:eastAsia="黑体"/>
          <w:color w:val="auto"/>
          <w:szCs w:val="32"/>
        </w:rPr>
        <w:t>财政拨</w:t>
      </w:r>
      <w:r>
        <w:rPr>
          <w:rFonts w:hint="eastAsia" w:ascii="黑体" w:hAnsi="黑体" w:eastAsia="黑体"/>
          <w:szCs w:val="32"/>
        </w:rPr>
        <w:t>款收入支出决算情况说明</w:t>
      </w:r>
    </w:p>
    <w:p>
      <w:pPr>
        <w:adjustRightInd w:val="0"/>
        <w:snapToGrid w:val="0"/>
        <w:spacing w:line="600" w:lineRule="exact"/>
        <w:ind w:firstLine="628" w:firstLineChars="200"/>
        <w:rPr>
          <w:rFonts w:hint="eastAsia" w:ascii="仿宋_GB2312" w:hAnsi="仿宋"/>
          <w:szCs w:val="32"/>
          <w:lang w:eastAsia="zh-CN"/>
        </w:rPr>
      </w:pPr>
      <w:r>
        <w:rPr>
          <w:rFonts w:hint="eastAsia" w:ascii="仿宋_GB2312" w:hAnsi="仿宋"/>
          <w:szCs w:val="32"/>
          <w:lang w:val="en-US" w:eastAsia="zh-CN"/>
        </w:rPr>
        <w:t>黄山市</w:t>
      </w:r>
      <w:r>
        <w:rPr>
          <w:rFonts w:hint="eastAsia" w:ascii="仿宋_GB2312" w:hAnsi="仿宋"/>
          <w:szCs w:val="32"/>
          <w:lang w:eastAsia="zh-CN"/>
        </w:rPr>
        <w:t>人民政府办公室没有政府性基金预算收入，也没有使用政府性基金预算安排的支出。</w:t>
      </w:r>
    </w:p>
    <w:p>
      <w:pPr>
        <w:ind w:firstLine="628" w:firstLineChars="200"/>
        <w:rPr>
          <w:rFonts w:hint="eastAsia" w:ascii="黑体" w:hAnsi="黑体" w:eastAsia="黑体"/>
          <w:szCs w:val="32"/>
        </w:rPr>
      </w:pPr>
      <w:r>
        <w:rPr>
          <w:rFonts w:hint="eastAsia" w:ascii="黑体" w:hAnsi="黑体" w:eastAsia="黑体"/>
          <w:szCs w:val="32"/>
        </w:rPr>
        <w:t>八、国有资本经营预算财政拨款支出情况说明</w:t>
      </w:r>
    </w:p>
    <w:p>
      <w:pPr>
        <w:adjustRightInd w:val="0"/>
        <w:snapToGrid w:val="0"/>
        <w:spacing w:line="600" w:lineRule="exact"/>
        <w:ind w:firstLine="628" w:firstLineChars="200"/>
        <w:rPr>
          <w:rFonts w:hint="eastAsia" w:ascii="仿宋_GB2312" w:hAnsi="仿宋"/>
          <w:szCs w:val="32"/>
          <w:lang w:eastAsia="zh-CN"/>
        </w:rPr>
      </w:pPr>
      <w:r>
        <w:rPr>
          <w:rFonts w:hint="eastAsia" w:ascii="仿宋_GB2312" w:hAnsi="仿宋"/>
          <w:szCs w:val="32"/>
          <w:lang w:val="en-US" w:eastAsia="zh-CN"/>
        </w:rPr>
        <w:t>黄山市</w:t>
      </w:r>
      <w:r>
        <w:rPr>
          <w:rFonts w:hint="eastAsia" w:ascii="仿宋_GB2312" w:hAnsi="仿宋"/>
          <w:szCs w:val="32"/>
          <w:lang w:eastAsia="zh-CN"/>
        </w:rPr>
        <w:t>人民政府办公室没有使用国有资本经营预算财政拨款安排的支出。</w:t>
      </w:r>
    </w:p>
    <w:p>
      <w:pPr>
        <w:adjustRightInd w:val="0"/>
        <w:snapToGrid w:val="0"/>
        <w:spacing w:line="600" w:lineRule="exact"/>
        <w:ind w:firstLine="628" w:firstLineChars="200"/>
        <w:rPr>
          <w:rFonts w:hint="eastAsia" w:ascii="黑体" w:hAnsi="黑体" w:eastAsia="黑体"/>
          <w:szCs w:val="32"/>
        </w:rPr>
      </w:pPr>
      <w:r>
        <w:rPr>
          <w:rFonts w:hint="eastAsia" w:ascii="黑体" w:hAnsi="黑体" w:eastAsia="黑体"/>
          <w:szCs w:val="32"/>
        </w:rPr>
        <w:t>九、其他重要事项情况说明</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（一）机关运行经费支出情况。</w:t>
      </w:r>
    </w:p>
    <w:p>
      <w:pPr>
        <w:adjustRightInd w:val="0"/>
        <w:snapToGrid w:val="0"/>
        <w:spacing w:line="600" w:lineRule="exact"/>
        <w:ind w:firstLine="628"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w:t>
      </w:r>
      <w:r>
        <w:rPr>
          <w:rFonts w:hint="eastAsia" w:ascii="仿宋_GB2312" w:hAnsi="仿宋"/>
          <w:szCs w:val="32"/>
          <w:lang w:val="en-US" w:eastAsia="zh-CN"/>
        </w:rPr>
        <w:t>黄山市</w:t>
      </w:r>
      <w:r>
        <w:rPr>
          <w:rFonts w:hint="eastAsia" w:ascii="仿宋_GB2312" w:hAnsi="仿宋"/>
          <w:szCs w:val="32"/>
          <w:lang w:eastAsia="zh-CN"/>
        </w:rPr>
        <w:t>人民政府办公室</w:t>
      </w:r>
      <w:r>
        <w:rPr>
          <w:rFonts w:hint="eastAsia" w:ascii="仿宋_GB2312" w:hAnsi="仿宋"/>
          <w:szCs w:val="32"/>
        </w:rPr>
        <w:t>机关运行经费支出</w:t>
      </w:r>
      <w:r>
        <w:rPr>
          <w:rFonts w:hint="eastAsia" w:ascii="仿宋_GB2312" w:hAnsi="仿宋"/>
          <w:szCs w:val="32"/>
          <w:lang w:val="en-US" w:eastAsia="zh-CN"/>
        </w:rPr>
        <w:t>188.49</w:t>
      </w:r>
      <w:r>
        <w:rPr>
          <w:rFonts w:hint="eastAsia" w:ascii="仿宋_GB2312" w:hAnsi="仿宋"/>
          <w:szCs w:val="32"/>
        </w:rPr>
        <w:t>万元，比</w:t>
      </w:r>
      <w:r>
        <w:rPr>
          <w:rFonts w:hint="eastAsia" w:ascii="仿宋_GB2312" w:hAnsi="仿宋"/>
          <w:szCs w:val="32"/>
          <w:lang w:eastAsia="zh-CN"/>
        </w:rPr>
        <w:t>2020</w:t>
      </w:r>
      <w:r>
        <w:rPr>
          <w:rFonts w:hint="eastAsia" w:ascii="仿宋_GB2312" w:hAnsi="仿宋"/>
          <w:szCs w:val="32"/>
        </w:rPr>
        <w:t>年增加</w:t>
      </w:r>
      <w:r>
        <w:rPr>
          <w:rFonts w:hint="eastAsia" w:ascii="仿宋_GB2312" w:hAnsi="仿宋"/>
          <w:szCs w:val="32"/>
          <w:lang w:val="en-US" w:eastAsia="zh-CN"/>
        </w:rPr>
        <w:t>28.91</w:t>
      </w:r>
      <w:r>
        <w:rPr>
          <w:rFonts w:hint="eastAsia" w:ascii="仿宋_GB2312" w:hAnsi="仿宋"/>
          <w:szCs w:val="32"/>
        </w:rPr>
        <w:t>万元，增长</w:t>
      </w:r>
      <w:r>
        <w:rPr>
          <w:rFonts w:hint="eastAsia" w:ascii="仿宋_GB2312" w:hAnsi="仿宋"/>
          <w:szCs w:val="32"/>
          <w:lang w:val="en-US" w:eastAsia="zh-CN"/>
        </w:rPr>
        <w:t>18.11</w:t>
      </w:r>
      <w:r>
        <w:rPr>
          <w:rFonts w:hint="eastAsia" w:ascii="仿宋_GB2312" w:hAnsi="仿宋"/>
          <w:szCs w:val="32"/>
        </w:rPr>
        <w:t>%，主要原因</w:t>
      </w:r>
      <w:r>
        <w:rPr>
          <w:rFonts w:hint="eastAsia" w:ascii="仿宋_GB2312" w:hAnsi="仿宋"/>
          <w:szCs w:val="32"/>
          <w:lang w:eastAsia="zh-CN"/>
        </w:rPr>
        <w:t>：一</w:t>
      </w:r>
      <w:r>
        <w:rPr>
          <w:rFonts w:hint="eastAsia" w:ascii="仿宋_GB2312" w:hAnsi="仿宋"/>
          <w:szCs w:val="32"/>
        </w:rPr>
        <w:t>是</w:t>
      </w:r>
      <w:r>
        <w:rPr>
          <w:rFonts w:hint="eastAsia" w:ascii="仿宋_GB2312" w:hAnsi="仿宋"/>
          <w:szCs w:val="32"/>
          <w:lang w:eastAsia="zh-CN"/>
        </w:rPr>
        <w:t>增加“放管服”改革协调和“四送一服”双千工程职能；二是增加统筹推动新安江—千岛湖生态补偿试验区建设职能；三是增加非独立核算的下属事业单位</w:t>
      </w:r>
      <w:r>
        <w:rPr>
          <w:rFonts w:hint="eastAsia" w:ascii="仿宋_GB2312" w:hAnsi="仿宋"/>
          <w:szCs w:val="32"/>
        </w:rPr>
        <w:t>。</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（二）政府采购支出情况。</w:t>
      </w:r>
    </w:p>
    <w:p>
      <w:pPr>
        <w:keepNext w:val="0"/>
        <w:keepLines w:val="0"/>
        <w:pageBreakBefore w:val="0"/>
        <w:widowControl w:val="0"/>
        <w:kinsoku/>
        <w:wordWrap/>
        <w:overflowPunct/>
        <w:topLinePunct w:val="0"/>
        <w:autoSpaceDE/>
        <w:autoSpaceDN/>
        <w:bidi w:val="0"/>
        <w:adjustRightInd/>
        <w:snapToGrid/>
        <w:spacing w:beforeLines="0" w:afterLines="0"/>
        <w:ind w:firstLine="628" w:firstLineChars="200"/>
        <w:jc w:val="left"/>
        <w:textAlignment w:val="auto"/>
        <w:rPr>
          <w:rFonts w:hint="eastAsia" w:ascii="仿宋_GB2312" w:hAnsi="仿宋"/>
          <w:color w:val="auto"/>
          <w:szCs w:val="32"/>
        </w:rPr>
      </w:pPr>
      <w:r>
        <w:rPr>
          <w:rFonts w:hint="eastAsia" w:ascii="仿宋_GB2312" w:hAnsi="仿宋"/>
          <w:szCs w:val="32"/>
          <w:lang w:eastAsia="zh-CN"/>
        </w:rPr>
        <w:t>2021</w:t>
      </w:r>
      <w:r>
        <w:rPr>
          <w:rFonts w:hint="eastAsia" w:ascii="仿宋_GB2312" w:hAnsi="仿宋"/>
          <w:szCs w:val="32"/>
        </w:rPr>
        <w:t>年度，</w:t>
      </w:r>
      <w:r>
        <w:rPr>
          <w:rFonts w:hint="eastAsia" w:ascii="仿宋_GB2312" w:hAnsi="仿宋"/>
          <w:szCs w:val="32"/>
          <w:lang w:val="en-US" w:eastAsia="zh-CN"/>
        </w:rPr>
        <w:t>黄山市</w:t>
      </w:r>
      <w:r>
        <w:rPr>
          <w:rFonts w:hint="eastAsia" w:ascii="仿宋_GB2312" w:hAnsi="仿宋"/>
          <w:szCs w:val="32"/>
          <w:lang w:eastAsia="zh-CN"/>
        </w:rPr>
        <w:t>人民政府办公室</w:t>
      </w:r>
      <w:r>
        <w:rPr>
          <w:rFonts w:hint="eastAsia" w:ascii="仿宋_GB2312" w:hAnsi="仿宋"/>
          <w:szCs w:val="32"/>
        </w:rPr>
        <w:t>政府采购支出总额</w:t>
      </w:r>
      <w:r>
        <w:rPr>
          <w:rFonts w:hint="eastAsia" w:ascii="仿宋_GB2312" w:hAnsi="仿宋"/>
          <w:szCs w:val="32"/>
          <w:lang w:val="en-US" w:eastAsia="zh-CN"/>
        </w:rPr>
        <w:t>377.04</w:t>
      </w:r>
      <w:r>
        <w:rPr>
          <w:rFonts w:hint="eastAsia" w:ascii="仿宋_GB2312" w:hAnsi="仿宋"/>
          <w:szCs w:val="32"/>
        </w:rPr>
        <w:t>万元，其中：政府采购货物支出</w:t>
      </w:r>
      <w:r>
        <w:rPr>
          <w:rFonts w:hint="eastAsia" w:ascii="仿宋_GB2312" w:hAnsi="仿宋"/>
          <w:szCs w:val="32"/>
          <w:lang w:val="en-US" w:eastAsia="zh-CN"/>
        </w:rPr>
        <w:t>39.96</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政府采购服务支出</w:t>
      </w:r>
      <w:r>
        <w:rPr>
          <w:rFonts w:hint="eastAsia" w:ascii="仿宋_GB2312" w:hAnsi="仿宋"/>
          <w:color w:val="auto"/>
          <w:szCs w:val="32"/>
          <w:lang w:val="en-US" w:eastAsia="zh-CN"/>
        </w:rPr>
        <w:t>337.08</w:t>
      </w:r>
      <w:r>
        <w:rPr>
          <w:rFonts w:hint="eastAsia" w:ascii="仿宋_GB2312" w:hAnsi="仿宋"/>
          <w:color w:val="auto"/>
          <w:szCs w:val="32"/>
        </w:rPr>
        <w:t>万元。授予中小企业合同金额</w:t>
      </w:r>
      <w:r>
        <w:rPr>
          <w:rFonts w:hint="eastAsia" w:ascii="仿宋_GB2312" w:hAnsi="仿宋"/>
          <w:color w:val="auto"/>
          <w:szCs w:val="32"/>
          <w:lang w:val="en-US" w:eastAsia="zh-CN"/>
        </w:rPr>
        <w:t>80.1</w:t>
      </w:r>
      <w:r>
        <w:rPr>
          <w:rFonts w:hint="eastAsia" w:ascii="仿宋_GB2312" w:hAnsi="仿宋"/>
          <w:color w:val="auto"/>
          <w:szCs w:val="32"/>
        </w:rPr>
        <w:t>万元，占政府采购支出总额的</w:t>
      </w:r>
      <w:r>
        <w:rPr>
          <w:rFonts w:hint="eastAsia" w:ascii="仿宋_GB2312" w:hAnsi="仿宋"/>
          <w:color w:val="auto"/>
          <w:szCs w:val="32"/>
          <w:lang w:val="en-US" w:eastAsia="zh-CN"/>
        </w:rPr>
        <w:t>21.24</w:t>
      </w:r>
      <w:r>
        <w:rPr>
          <w:rFonts w:hint="eastAsia" w:ascii="仿宋_GB2312" w:hAnsi="仿宋"/>
          <w:color w:val="auto"/>
          <w:szCs w:val="32"/>
        </w:rPr>
        <w:t>%，其中：</w:t>
      </w:r>
      <w:r>
        <w:rPr>
          <w:rFonts w:hint="eastAsia" w:ascii="仿宋" w:hAnsi="仿宋" w:eastAsia="仿宋"/>
          <w:color w:val="auto"/>
          <w:sz w:val="32"/>
        </w:rPr>
        <w:t>授予小微企业合同金额</w:t>
      </w:r>
      <w:r>
        <w:rPr>
          <w:rFonts w:hint="eastAsia" w:ascii="仿宋" w:hAnsi="仿宋" w:eastAsia="仿宋"/>
          <w:color w:val="auto"/>
          <w:sz w:val="32"/>
          <w:lang w:val="en-US" w:eastAsia="zh-CN"/>
        </w:rPr>
        <w:t>80.1</w:t>
      </w:r>
      <w:r>
        <w:rPr>
          <w:rFonts w:hint="eastAsia" w:ascii="仿宋" w:hAnsi="仿宋" w:eastAsia="仿宋"/>
          <w:color w:val="auto"/>
          <w:sz w:val="32"/>
        </w:rPr>
        <w:t>万元，占授予中小企业合同金额的</w:t>
      </w:r>
      <w:r>
        <w:rPr>
          <w:rFonts w:hint="eastAsia" w:ascii="仿宋" w:hAnsi="仿宋" w:eastAsia="仿宋"/>
          <w:color w:val="auto"/>
          <w:sz w:val="32"/>
          <w:lang w:val="en-US" w:eastAsia="zh-CN"/>
        </w:rPr>
        <w:t>100</w:t>
      </w:r>
      <w:r>
        <w:rPr>
          <w:rFonts w:hint="eastAsia" w:ascii="仿宋" w:hAnsi="仿宋" w:eastAsia="仿宋"/>
          <w:color w:val="auto"/>
          <w:sz w:val="32"/>
        </w:rPr>
        <w:t>%；货物采购授予中小企业合同金额占货物支出金额的</w:t>
      </w:r>
      <w:r>
        <w:rPr>
          <w:rFonts w:hint="eastAsia" w:ascii="仿宋" w:hAnsi="仿宋" w:eastAsia="仿宋"/>
          <w:color w:val="auto"/>
          <w:sz w:val="32"/>
          <w:lang w:val="en-US" w:eastAsia="zh-CN"/>
        </w:rPr>
        <w:t>49.89</w:t>
      </w:r>
      <w:r>
        <w:rPr>
          <w:rFonts w:hint="eastAsia" w:ascii="仿宋" w:hAnsi="仿宋" w:eastAsia="仿宋"/>
          <w:color w:val="auto"/>
          <w:sz w:val="32"/>
        </w:rPr>
        <w:t>%，工程采购授予中小企业合同金额占工程支出金额的</w:t>
      </w:r>
      <w:r>
        <w:rPr>
          <w:rFonts w:hint="eastAsia" w:ascii="仿宋" w:hAnsi="仿宋" w:eastAsia="仿宋"/>
          <w:color w:val="auto"/>
          <w:sz w:val="32"/>
          <w:lang w:val="en-US" w:eastAsia="zh-CN"/>
        </w:rPr>
        <w:t>0</w:t>
      </w:r>
      <w:r>
        <w:rPr>
          <w:rFonts w:hint="eastAsia" w:ascii="仿宋" w:hAnsi="仿宋" w:eastAsia="仿宋"/>
          <w:color w:val="auto"/>
          <w:sz w:val="32"/>
        </w:rPr>
        <w:t>%，服务采购授予中小企业合同金额占服务支出金额的</w:t>
      </w:r>
      <w:r>
        <w:rPr>
          <w:rFonts w:hint="eastAsia" w:ascii="仿宋" w:hAnsi="仿宋" w:eastAsia="仿宋"/>
          <w:color w:val="auto"/>
          <w:sz w:val="32"/>
          <w:lang w:val="en-US" w:eastAsia="zh-CN"/>
        </w:rPr>
        <w:t>50.11</w:t>
      </w:r>
      <w:r>
        <w:rPr>
          <w:rFonts w:hint="eastAsia" w:ascii="仿宋" w:hAnsi="仿宋" w:eastAsia="仿宋"/>
          <w:color w:val="auto"/>
          <w:sz w:val="32"/>
        </w:rPr>
        <w:t>%。</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（三）国有资产占有使用情况。</w:t>
      </w:r>
    </w:p>
    <w:p>
      <w:pPr>
        <w:adjustRightInd w:val="0"/>
        <w:snapToGrid w:val="0"/>
        <w:spacing w:line="600" w:lineRule="exact"/>
        <w:ind w:firstLine="628" w:firstLineChars="200"/>
        <w:rPr>
          <w:rFonts w:hint="eastAsia" w:ascii="仿宋_GB2312" w:hAnsi="仿宋" w:eastAsia="仿宋_GB2312"/>
          <w:szCs w:val="32"/>
          <w:lang w:eastAsia="zh-CN"/>
        </w:rPr>
      </w:pPr>
      <w:r>
        <w:rPr>
          <w:rFonts w:hint="eastAsia" w:ascii="仿宋_GB2312" w:hAnsi="楷体"/>
          <w:szCs w:val="32"/>
        </w:rPr>
        <w:t>截至</w:t>
      </w:r>
      <w:r>
        <w:rPr>
          <w:rFonts w:hint="eastAsia" w:ascii="仿宋_GB2312" w:hAnsi="楷体"/>
          <w:szCs w:val="32"/>
          <w:lang w:eastAsia="zh-CN"/>
        </w:rPr>
        <w:t>2021</w:t>
      </w:r>
      <w:r>
        <w:rPr>
          <w:rFonts w:hint="eastAsia" w:ascii="仿宋_GB2312" w:hAnsi="楷体"/>
          <w:szCs w:val="32"/>
        </w:rPr>
        <w:t>年12月31日，</w:t>
      </w:r>
      <w:r>
        <w:rPr>
          <w:rFonts w:hint="eastAsia" w:ascii="仿宋_GB2312" w:hAnsi="楷体"/>
          <w:szCs w:val="32"/>
          <w:lang w:val="en-US" w:eastAsia="zh-CN"/>
        </w:rPr>
        <w:t>黄山市</w:t>
      </w:r>
      <w:r>
        <w:rPr>
          <w:rFonts w:hint="eastAsia" w:ascii="仿宋_GB2312" w:hAnsi="仿宋"/>
          <w:szCs w:val="32"/>
          <w:lang w:eastAsia="zh-CN"/>
        </w:rPr>
        <w:t>人民政府办公室</w:t>
      </w:r>
      <w:r>
        <w:rPr>
          <w:rFonts w:hint="eastAsia" w:ascii="仿宋_GB2312" w:hAnsi="仿宋"/>
          <w:szCs w:val="32"/>
        </w:rPr>
        <w:t>共有车辆</w:t>
      </w:r>
      <w:r>
        <w:rPr>
          <w:rFonts w:hint="eastAsia" w:ascii="仿宋_GB2312" w:hAnsi="仿宋"/>
          <w:szCs w:val="32"/>
          <w:lang w:val="en-US" w:eastAsia="zh-CN"/>
        </w:rPr>
        <w:t>3</w:t>
      </w:r>
      <w:r>
        <w:rPr>
          <w:rFonts w:hint="eastAsia" w:ascii="仿宋_GB2312" w:hAnsi="仿宋"/>
          <w:szCs w:val="32"/>
        </w:rPr>
        <w:t>辆，其中：主要领导干部用车</w:t>
      </w:r>
      <w:r>
        <w:rPr>
          <w:rFonts w:hint="eastAsia" w:ascii="仿宋_GB2312" w:hAnsi="仿宋"/>
          <w:szCs w:val="32"/>
          <w:lang w:val="en-US" w:eastAsia="zh-CN"/>
        </w:rPr>
        <w:t>1</w:t>
      </w:r>
      <w:r>
        <w:rPr>
          <w:rFonts w:hint="eastAsia" w:ascii="仿宋_GB2312" w:hAnsi="仿宋"/>
          <w:szCs w:val="32"/>
        </w:rPr>
        <w:t>辆、应急保障用车</w:t>
      </w:r>
      <w:r>
        <w:rPr>
          <w:rFonts w:hint="eastAsia" w:ascii="仿宋_GB2312" w:hAnsi="仿宋"/>
          <w:szCs w:val="32"/>
          <w:lang w:val="en-US" w:eastAsia="zh-CN"/>
        </w:rPr>
        <w:t>2</w:t>
      </w:r>
      <w:r>
        <w:rPr>
          <w:rFonts w:hint="eastAsia" w:ascii="仿宋_GB2312" w:hAnsi="仿宋"/>
          <w:color w:val="auto"/>
          <w:szCs w:val="32"/>
        </w:rPr>
        <w:t>辆</w:t>
      </w:r>
      <w:r>
        <w:rPr>
          <w:rFonts w:hint="eastAsia" w:ascii="仿宋_GB2312" w:hAnsi="仿宋"/>
          <w:color w:val="auto"/>
          <w:szCs w:val="32"/>
          <w:lang w:eastAsia="zh-CN"/>
        </w:rPr>
        <w:t>；</w:t>
      </w:r>
      <w:r>
        <w:rPr>
          <w:rFonts w:hint="eastAsia" w:ascii="仿宋_GB2312" w:hAnsi="仿宋"/>
          <w:szCs w:val="32"/>
        </w:rPr>
        <w:t>单价50万元以上的通用设备</w:t>
      </w:r>
      <w:r>
        <w:rPr>
          <w:rFonts w:hint="eastAsia" w:ascii="仿宋_GB2312" w:hAnsi="仿宋"/>
          <w:szCs w:val="32"/>
          <w:lang w:val="en-US" w:eastAsia="zh-CN"/>
        </w:rPr>
        <w:t>0</w:t>
      </w:r>
      <w:r>
        <w:rPr>
          <w:rFonts w:hint="eastAsia" w:ascii="仿宋_GB2312" w:hAnsi="仿宋"/>
          <w:szCs w:val="32"/>
        </w:rPr>
        <w:t>台（套），单价100万</w:t>
      </w:r>
      <w:r>
        <w:rPr>
          <w:rFonts w:hint="eastAsia" w:ascii="仿宋_GB2312" w:hAnsi="仿宋"/>
          <w:color w:val="auto"/>
          <w:szCs w:val="32"/>
        </w:rPr>
        <w:t>元</w:t>
      </w:r>
      <w:r>
        <w:rPr>
          <w:rFonts w:hint="eastAsia" w:ascii="仿宋_GB2312" w:hAnsi="仿宋"/>
          <w:szCs w:val="32"/>
        </w:rPr>
        <w:t>以上专用设备</w:t>
      </w:r>
      <w:r>
        <w:rPr>
          <w:rFonts w:hint="eastAsia" w:ascii="仿宋_GB2312" w:hAnsi="仿宋"/>
          <w:szCs w:val="32"/>
          <w:lang w:val="en-US" w:eastAsia="zh-CN"/>
        </w:rPr>
        <w:t>0</w:t>
      </w:r>
      <w:r>
        <w:rPr>
          <w:rFonts w:hint="eastAsia" w:ascii="仿宋_GB2312" w:hAnsi="仿宋"/>
          <w:szCs w:val="32"/>
        </w:rPr>
        <w:t>台（套）。</w:t>
      </w:r>
    </w:p>
    <w:p>
      <w:pPr>
        <w:adjustRightInd w:val="0"/>
        <w:snapToGrid w:val="0"/>
        <w:spacing w:line="600" w:lineRule="exact"/>
        <w:ind w:firstLine="628" w:firstLineChars="200"/>
        <w:rPr>
          <w:rFonts w:hint="eastAsia" w:ascii="仿宋_GB2312" w:hAnsi="楷体"/>
          <w:b/>
          <w:color w:val="auto"/>
          <w:szCs w:val="32"/>
        </w:rPr>
      </w:pPr>
      <w:r>
        <w:rPr>
          <w:rFonts w:hint="eastAsia" w:ascii="仿宋_GB2312" w:hAnsi="楷体"/>
          <w:b/>
          <w:color w:val="auto"/>
          <w:szCs w:val="32"/>
        </w:rPr>
        <w:t>（四）关于</w:t>
      </w:r>
      <w:r>
        <w:rPr>
          <w:rFonts w:hint="eastAsia" w:ascii="仿宋_GB2312" w:hAnsi="楷体"/>
          <w:b/>
          <w:color w:val="auto"/>
          <w:szCs w:val="32"/>
          <w:lang w:eastAsia="zh-CN"/>
        </w:rPr>
        <w:t>2021</w:t>
      </w:r>
      <w:r>
        <w:rPr>
          <w:rFonts w:hint="eastAsia" w:ascii="仿宋_GB2312" w:hAnsi="楷体"/>
          <w:b/>
          <w:color w:val="auto"/>
          <w:szCs w:val="32"/>
        </w:rPr>
        <w:t>年度预算绩效情况说明</w:t>
      </w:r>
    </w:p>
    <w:p>
      <w:pPr>
        <w:spacing w:line="560" w:lineRule="exact"/>
        <w:ind w:firstLine="628" w:firstLineChars="200"/>
        <w:rPr>
          <w:rFonts w:hint="eastAsia" w:ascii="仿宋_GB2312" w:hAnsi="仿宋"/>
          <w:b/>
          <w:color w:val="auto"/>
          <w:szCs w:val="32"/>
        </w:rPr>
      </w:pPr>
      <w:r>
        <w:rPr>
          <w:rFonts w:hint="eastAsia" w:ascii="仿宋_GB2312" w:hAnsi="仿宋"/>
          <w:b/>
          <w:color w:val="auto"/>
          <w:szCs w:val="32"/>
        </w:rPr>
        <w:t>1</w:t>
      </w:r>
      <w:r>
        <w:rPr>
          <w:rFonts w:hint="eastAsia" w:ascii="仿宋_GB2312" w:hAnsi="仿宋"/>
          <w:b/>
          <w:color w:val="auto"/>
          <w:szCs w:val="32"/>
          <w:lang w:eastAsia="zh-CN"/>
        </w:rPr>
        <w:t>.</w:t>
      </w:r>
      <w:r>
        <w:rPr>
          <w:rFonts w:hint="eastAsia" w:ascii="仿宋_GB2312" w:hAnsi="仿宋"/>
          <w:b/>
          <w:color w:val="auto"/>
          <w:szCs w:val="32"/>
        </w:rPr>
        <w:t>预算绩效管理工作开展情况。</w:t>
      </w:r>
    </w:p>
    <w:p>
      <w:pPr>
        <w:adjustRightInd w:val="0"/>
        <w:snapToGrid w:val="0"/>
        <w:spacing w:line="600" w:lineRule="exact"/>
        <w:ind w:firstLine="628" w:firstLineChars="200"/>
        <w:rPr>
          <w:rFonts w:hint="eastAsia" w:ascii="仿宋_GB2312" w:hAnsi="仿宋"/>
          <w:szCs w:val="32"/>
        </w:rPr>
      </w:pPr>
      <w:r>
        <w:rPr>
          <w:rFonts w:hint="eastAsia" w:ascii="仿宋_GB2312" w:hAnsi="仿宋"/>
          <w:szCs w:val="32"/>
        </w:rPr>
        <w:t>根据预算绩效管理要求，本部门组织对202</w:t>
      </w:r>
      <w:r>
        <w:rPr>
          <w:rFonts w:hint="eastAsia" w:ascii="仿宋_GB2312" w:hAnsi="仿宋"/>
          <w:szCs w:val="32"/>
          <w:lang w:val="en-US" w:eastAsia="zh-CN"/>
        </w:rPr>
        <w:t>1</w:t>
      </w:r>
      <w:r>
        <w:rPr>
          <w:rFonts w:hint="eastAsia" w:ascii="仿宋_GB2312" w:hAnsi="仿宋"/>
          <w:szCs w:val="32"/>
        </w:rPr>
        <w:t>年度纳入部门预算的项目支出全面开展了绩效自评，共</w:t>
      </w:r>
      <w:r>
        <w:rPr>
          <w:rFonts w:hint="eastAsia" w:ascii="仿宋_GB2312" w:hAnsi="仿宋"/>
          <w:szCs w:val="32"/>
          <w:lang w:val="en-US" w:eastAsia="zh-CN"/>
        </w:rPr>
        <w:t>4</w:t>
      </w:r>
      <w:r>
        <w:rPr>
          <w:rFonts w:hint="eastAsia" w:ascii="仿宋_GB2312" w:hAnsi="仿宋"/>
          <w:szCs w:val="32"/>
        </w:rPr>
        <w:t>个项目，涉及资金</w:t>
      </w:r>
      <w:r>
        <w:rPr>
          <w:rFonts w:hint="eastAsia" w:ascii="仿宋_GB2312" w:hAnsi="仿宋"/>
          <w:szCs w:val="32"/>
          <w:lang w:val="en-US" w:eastAsia="zh-CN"/>
        </w:rPr>
        <w:t>639.86</w:t>
      </w:r>
      <w:r>
        <w:rPr>
          <w:rFonts w:hint="eastAsia" w:ascii="仿宋_GB2312" w:hAnsi="仿宋"/>
          <w:szCs w:val="32"/>
        </w:rPr>
        <w:t>万元，占项目预算总额的</w:t>
      </w:r>
      <w:r>
        <w:rPr>
          <w:rFonts w:hint="eastAsia" w:ascii="仿宋_GB2312" w:hAnsi="仿宋"/>
          <w:szCs w:val="32"/>
          <w:lang w:val="en-US" w:eastAsia="zh-CN"/>
        </w:rPr>
        <w:t>100</w:t>
      </w:r>
      <w:r>
        <w:rPr>
          <w:rFonts w:hint="eastAsia" w:ascii="仿宋_GB2312" w:hAnsi="仿宋"/>
          <w:szCs w:val="32"/>
        </w:rPr>
        <w:t>%。从评价情况看，绩效目标设置科学合理，预算资金在产出、效益和满意度绩效指标方面均取得较好的执行效果，项目支出管理规范性</w:t>
      </w:r>
      <w:r>
        <w:rPr>
          <w:rFonts w:hint="eastAsia" w:ascii="仿宋_GB2312" w:hAnsi="仿宋"/>
          <w:szCs w:val="32"/>
          <w:lang w:eastAsia="zh-CN"/>
        </w:rPr>
        <w:t>，</w:t>
      </w:r>
      <w:r>
        <w:rPr>
          <w:rFonts w:hint="eastAsia" w:ascii="仿宋_GB2312" w:hAnsi="仿宋"/>
          <w:szCs w:val="32"/>
        </w:rPr>
        <w:t>整体较好，达到了预期绩效目标。</w:t>
      </w:r>
    </w:p>
    <w:p>
      <w:pPr>
        <w:adjustRightInd w:val="0"/>
        <w:snapToGrid w:val="0"/>
        <w:spacing w:line="600" w:lineRule="exact"/>
        <w:ind w:firstLine="628" w:firstLineChars="200"/>
        <w:rPr>
          <w:rFonts w:hint="eastAsia" w:ascii="仿宋_GB2312" w:hAnsi="仿宋"/>
          <w:szCs w:val="32"/>
          <w:lang w:eastAsia="zh-CN"/>
        </w:rPr>
      </w:pPr>
      <w:r>
        <w:rPr>
          <w:rFonts w:hint="eastAsia" w:ascii="仿宋_GB2312" w:hAnsi="仿宋"/>
          <w:szCs w:val="32"/>
        </w:rPr>
        <w:t>组织对“12345呼叫中心运营外包服务费”项目开展了部门评价，涉及资金</w:t>
      </w:r>
      <w:r>
        <w:rPr>
          <w:rFonts w:hint="eastAsia" w:ascii="仿宋_GB2312" w:hAnsi="仿宋"/>
          <w:szCs w:val="32"/>
          <w:lang w:val="en-US" w:eastAsia="zh-CN"/>
        </w:rPr>
        <w:t>297</w:t>
      </w:r>
      <w:r>
        <w:rPr>
          <w:rFonts w:hint="eastAsia" w:ascii="仿宋_GB2312" w:hAnsi="仿宋"/>
          <w:szCs w:val="32"/>
        </w:rPr>
        <w:t>万元。</w:t>
      </w:r>
      <w:r>
        <w:rPr>
          <w:rFonts w:hint="eastAsia" w:ascii="仿宋_GB2312" w:hAnsi="仿宋"/>
          <w:szCs w:val="32"/>
          <w:lang w:eastAsia="zh-CN"/>
        </w:rPr>
        <w:t>本</w:t>
      </w:r>
      <w:r>
        <w:rPr>
          <w:rFonts w:hint="eastAsia" w:ascii="仿宋_GB2312" w:hAnsi="仿宋"/>
          <w:szCs w:val="32"/>
        </w:rPr>
        <w:t>项目由我部门自行组织开展绩效评价。从评价情况看，本项目取得很好的效果</w:t>
      </w:r>
      <w:r>
        <w:rPr>
          <w:rFonts w:hint="eastAsia" w:ascii="仿宋_GB2312" w:hAnsi="仿宋"/>
          <w:szCs w:val="32"/>
          <w:lang w:eastAsia="zh-CN"/>
        </w:rPr>
        <w:t>，</w:t>
      </w:r>
      <w:r>
        <w:rPr>
          <w:rFonts w:hint="eastAsia" w:ascii="仿宋_GB2312" w:hAnsi="仿宋"/>
          <w:szCs w:val="32"/>
          <w:lang w:val="en-US" w:eastAsia="zh-CN"/>
        </w:rPr>
        <w:t>制订出台《黄山市12345热线办理工作目标管理绩效考核办法》，</w:t>
      </w:r>
      <w:r>
        <w:rPr>
          <w:rFonts w:hint="eastAsia" w:ascii="仿宋_GB2312" w:hAnsi="仿宋"/>
          <w:szCs w:val="32"/>
          <w:lang w:eastAsia="zh-CN"/>
        </w:rPr>
        <w:t>明确将各区县和市直有关部门市长热线工作纳入市政府年度目标管理绩效考核。采取系统自动考核与人工考核相结合、日常工作考核与年度综合考核相结合的办法，建立办理工作考核综合评价体系。考核结果同时作为机关效能建设、群众满意度调查、政风行风评议的重要依据之一。</w:t>
      </w:r>
    </w:p>
    <w:p>
      <w:pPr>
        <w:adjustRightInd w:val="0"/>
        <w:snapToGrid w:val="0"/>
        <w:spacing w:line="600" w:lineRule="exact"/>
        <w:ind w:firstLine="628" w:firstLineChars="200"/>
        <w:rPr>
          <w:rFonts w:hint="eastAsia" w:ascii="仿宋_GB2312" w:hAnsi="仿宋"/>
          <w:szCs w:val="32"/>
        </w:rPr>
      </w:pPr>
      <w:r>
        <w:rPr>
          <w:rFonts w:hint="eastAsia" w:ascii="仿宋_GB2312" w:hAnsi="仿宋"/>
          <w:szCs w:val="32"/>
        </w:rPr>
        <w:t>组织对202</w:t>
      </w:r>
      <w:r>
        <w:rPr>
          <w:rFonts w:hint="eastAsia" w:ascii="仿宋_GB2312" w:hAnsi="仿宋"/>
          <w:szCs w:val="32"/>
          <w:lang w:val="en-US" w:eastAsia="zh-CN"/>
        </w:rPr>
        <w:t>1</w:t>
      </w:r>
      <w:r>
        <w:rPr>
          <w:rFonts w:hint="eastAsia" w:ascii="仿宋_GB2312" w:hAnsi="仿宋"/>
          <w:szCs w:val="32"/>
        </w:rPr>
        <w:t>年度部门整体支出开展</w:t>
      </w:r>
      <w:r>
        <w:rPr>
          <w:rFonts w:hint="eastAsia" w:ascii="仿宋_GB2312" w:hAnsi="仿宋"/>
          <w:szCs w:val="32"/>
          <w:lang w:eastAsia="zh-CN"/>
        </w:rPr>
        <w:t>了</w:t>
      </w:r>
      <w:r>
        <w:rPr>
          <w:rFonts w:hint="eastAsia" w:ascii="仿宋_GB2312" w:hAnsi="仿宋"/>
          <w:szCs w:val="32"/>
        </w:rPr>
        <w:t>绩效自评。评价结果显示，整体支出符合单位职责和相关管理规定，完成情况良好，绩效总体评价为“优”，资金的使用和效果达到年初预期的绩效目标。</w:t>
      </w:r>
    </w:p>
    <w:p>
      <w:pPr>
        <w:spacing w:line="560" w:lineRule="exact"/>
        <w:ind w:firstLine="628" w:firstLineChars="200"/>
        <w:rPr>
          <w:rFonts w:hint="eastAsia" w:ascii="仿宋" w:hAnsi="仿宋" w:eastAsia="仿宋" w:cs="仿宋"/>
          <w:bCs/>
          <w:sz w:val="32"/>
          <w:szCs w:val="32"/>
        </w:rPr>
      </w:pPr>
      <w:r>
        <w:rPr>
          <w:rFonts w:hint="eastAsia" w:ascii="仿宋_GB2312" w:hAnsi="仿宋"/>
          <w:b/>
          <w:szCs w:val="32"/>
        </w:rPr>
        <w:t>2</w:t>
      </w:r>
      <w:r>
        <w:rPr>
          <w:rFonts w:hint="eastAsia" w:ascii="仿宋_GB2312" w:hAnsi="仿宋"/>
          <w:b/>
          <w:szCs w:val="32"/>
          <w:lang w:eastAsia="zh-CN"/>
        </w:rPr>
        <w:t>.</w:t>
      </w:r>
      <w:r>
        <w:rPr>
          <w:rFonts w:hint="eastAsia" w:ascii="仿宋_GB2312" w:hAnsi="仿宋"/>
          <w:b/>
          <w:szCs w:val="32"/>
        </w:rPr>
        <w:t>部门决算中项目绩效自评结果。</w:t>
      </w:r>
    </w:p>
    <w:p>
      <w:pPr>
        <w:adjustRightInd w:val="0"/>
        <w:snapToGrid w:val="0"/>
        <w:spacing w:line="600" w:lineRule="exact"/>
        <w:ind w:firstLine="628" w:firstLineChars="200"/>
        <w:rPr>
          <w:rFonts w:hint="eastAsia" w:ascii="仿宋_GB2312" w:hAnsi="仿宋"/>
          <w:szCs w:val="32"/>
        </w:rPr>
      </w:pPr>
      <w:r>
        <w:rPr>
          <w:rFonts w:hint="eastAsia" w:ascii="仿宋" w:hAnsi="仿宋" w:eastAsia="仿宋" w:cs="仿宋"/>
          <w:sz w:val="32"/>
          <w:szCs w:val="32"/>
          <w:lang w:eastAsia="zh-CN"/>
        </w:rPr>
        <w:t>黄</w:t>
      </w:r>
      <w:r>
        <w:rPr>
          <w:rFonts w:hint="eastAsia" w:ascii="仿宋_GB2312" w:hAnsi="仿宋"/>
          <w:szCs w:val="32"/>
          <w:lang w:eastAsia="zh-CN"/>
        </w:rPr>
        <w:t>山市人民政府办公室</w:t>
      </w:r>
      <w:r>
        <w:rPr>
          <w:rFonts w:hint="eastAsia" w:ascii="仿宋_GB2312" w:hAnsi="仿宋"/>
          <w:szCs w:val="32"/>
        </w:rPr>
        <w:t>在202</w:t>
      </w:r>
      <w:r>
        <w:rPr>
          <w:rFonts w:hint="eastAsia" w:ascii="仿宋_GB2312" w:hAnsi="仿宋"/>
          <w:szCs w:val="32"/>
          <w:lang w:val="en-US" w:eastAsia="zh-CN"/>
        </w:rPr>
        <w:t>1</w:t>
      </w:r>
      <w:r>
        <w:rPr>
          <w:rFonts w:hint="eastAsia" w:ascii="仿宋_GB2312" w:hAnsi="仿宋"/>
          <w:szCs w:val="32"/>
        </w:rPr>
        <w:t>年度部门决算中反映“12345呼叫中心运营外包服务费”</w:t>
      </w:r>
      <w:r>
        <w:rPr>
          <w:rFonts w:hint="eastAsia" w:ascii="仿宋_GB2312" w:hAnsi="仿宋"/>
          <w:szCs w:val="32"/>
          <w:lang w:eastAsia="zh-CN"/>
        </w:rPr>
        <w:t>项目</w:t>
      </w:r>
      <w:r>
        <w:rPr>
          <w:rFonts w:hint="eastAsia" w:ascii="仿宋_GB2312" w:hAnsi="仿宋"/>
          <w:szCs w:val="32"/>
        </w:rPr>
        <w:t>绩效自评结果。</w:t>
      </w:r>
    </w:p>
    <w:p>
      <w:pPr>
        <w:adjustRightInd w:val="0"/>
        <w:snapToGrid w:val="0"/>
        <w:spacing w:line="600" w:lineRule="exact"/>
        <w:ind w:firstLine="628" w:firstLineChars="200"/>
        <w:rPr>
          <w:rFonts w:ascii="方正仿宋_GBK" w:hAnsi="仿宋_GB2312" w:eastAsia="方正仿宋_GBK" w:cs="仿宋_GB2312"/>
          <w:bCs/>
          <w:sz w:val="32"/>
          <w:szCs w:val="32"/>
        </w:rPr>
      </w:pPr>
      <w:r>
        <w:rPr>
          <w:rFonts w:hint="eastAsia" w:ascii="仿宋_GB2312" w:hAnsi="仿宋"/>
          <w:szCs w:val="32"/>
        </w:rPr>
        <w:t>“12345呼叫中心运营外包服务费”项目绩效自评综述：根据年初设定的绩效目标，项目绩效自评得分为</w:t>
      </w:r>
      <w:r>
        <w:rPr>
          <w:rFonts w:hint="eastAsia" w:ascii="仿宋_GB2312" w:hAnsi="仿宋"/>
          <w:szCs w:val="32"/>
          <w:lang w:val="en-US" w:eastAsia="zh-CN"/>
        </w:rPr>
        <w:t>100</w:t>
      </w:r>
      <w:r>
        <w:rPr>
          <w:rFonts w:hint="eastAsia" w:ascii="仿宋_GB2312" w:hAnsi="仿宋"/>
          <w:szCs w:val="32"/>
        </w:rPr>
        <w:t>分。全年预算数为</w:t>
      </w:r>
      <w:r>
        <w:rPr>
          <w:rFonts w:hint="eastAsia" w:ascii="仿宋_GB2312" w:hAnsi="仿宋"/>
          <w:szCs w:val="32"/>
          <w:lang w:val="en-US" w:eastAsia="zh-CN"/>
        </w:rPr>
        <w:t>297</w:t>
      </w:r>
      <w:r>
        <w:rPr>
          <w:rFonts w:hint="eastAsia" w:ascii="仿宋_GB2312" w:hAnsi="仿宋"/>
          <w:szCs w:val="32"/>
        </w:rPr>
        <w:t>万元，执行数为</w:t>
      </w:r>
      <w:r>
        <w:rPr>
          <w:rFonts w:hint="eastAsia" w:ascii="仿宋_GB2312" w:hAnsi="仿宋"/>
          <w:szCs w:val="32"/>
          <w:lang w:val="en-US" w:eastAsia="zh-CN"/>
        </w:rPr>
        <w:t>297</w:t>
      </w:r>
      <w:r>
        <w:rPr>
          <w:rFonts w:hint="eastAsia" w:ascii="仿宋_GB2312" w:hAnsi="仿宋"/>
          <w:szCs w:val="32"/>
        </w:rPr>
        <w:t>万元，完成预算的</w:t>
      </w:r>
      <w:r>
        <w:rPr>
          <w:rFonts w:hint="eastAsia" w:ascii="仿宋_GB2312" w:hAnsi="仿宋"/>
          <w:szCs w:val="32"/>
          <w:lang w:val="en-US" w:eastAsia="zh-CN"/>
        </w:rPr>
        <w:t>100</w:t>
      </w:r>
      <w:r>
        <w:rPr>
          <w:rFonts w:hint="eastAsia" w:ascii="仿宋_GB2312" w:hAnsi="仿宋"/>
          <w:szCs w:val="32"/>
        </w:rPr>
        <w:t>%。项目绩效目标完成情况：一是加强呼叫中心的诉求接受、分发交办、催办督办、回访调查、答复反馈、受理公开、监督考核等工作制度化管理；二是提高舆情应对能力，加强为民服务水平；三是提高热线精细化水平，构建政务热线新格局。发现的主要问题及原因：一是舆情应对能力有待进一步</w:t>
      </w:r>
      <w:r>
        <w:rPr>
          <w:rFonts w:hint="eastAsia" w:ascii="仿宋_GB2312" w:hAnsi="仿宋"/>
          <w:szCs w:val="32"/>
          <w:lang w:eastAsia="zh-CN"/>
        </w:rPr>
        <w:t>提高</w:t>
      </w:r>
      <w:r>
        <w:rPr>
          <w:rFonts w:hint="eastAsia" w:ascii="仿宋_GB2312" w:hAnsi="仿宋"/>
          <w:szCs w:val="32"/>
        </w:rPr>
        <w:t>；二是为民服务水平</w:t>
      </w:r>
      <w:r>
        <w:rPr>
          <w:rFonts w:hint="eastAsia" w:ascii="仿宋_GB2312" w:hAnsi="仿宋"/>
          <w:szCs w:val="32"/>
          <w:lang w:eastAsia="zh-CN"/>
        </w:rPr>
        <w:t>的有待进一步加强</w:t>
      </w:r>
      <w:r>
        <w:rPr>
          <w:rFonts w:hint="eastAsia" w:ascii="仿宋_GB2312" w:hAnsi="仿宋"/>
          <w:szCs w:val="32"/>
        </w:rPr>
        <w:t>。下一步改进措施：一是</w:t>
      </w:r>
      <w:r>
        <w:rPr>
          <w:rFonts w:hint="eastAsia" w:ascii="仿宋_GB2312" w:hAnsi="仿宋"/>
          <w:szCs w:val="32"/>
          <w:lang w:eastAsia="zh-CN"/>
        </w:rPr>
        <w:t>将</w:t>
      </w:r>
      <w:r>
        <w:rPr>
          <w:rFonts w:hint="eastAsia" w:ascii="仿宋_GB2312" w:hAnsi="仿宋"/>
          <w:szCs w:val="32"/>
        </w:rPr>
        <w:t>继续配合市委市政府推深做实常态化领导接听热线制度，做到有问必答、有求必应，针对群众反映的各类诉求举一反三，做好梳理分析，推动解决群众身边急难愁盼问题，增强人民群众获得感、幸福感、安全感，进一步提升政府公共服务能力和水平；二是坚持群众诉求“总管家”定位，强化诉求办理“总枢纽”建设，担负服务民生“总督察”使命，努力实现办件质效更高、督办能力更强、作用发挥更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楷体_GB2312" w:hAnsi="仿宋" w:eastAsia="楷体_GB2312"/>
          <w:szCs w:val="32"/>
        </w:rPr>
      </w:pPr>
      <w:r>
        <w:rPr>
          <w:rFonts w:hint="eastAsia" w:ascii="楷体_GB2312" w:hAnsi="仿宋" w:eastAsia="楷体_GB2312"/>
          <w:szCs w:val="32"/>
        </w:rPr>
        <w:object>
          <v:shape id="_x0000_i1033" o:spt="75" type="#_x0000_t75" style="height:558.9pt;width:483.2pt;" o:ole="t" filled="f" o:preferrelative="t" stroked="f" coordsize="21600,21600">
            <v:path/>
            <v:fill on="f" focussize="0,0"/>
            <v:stroke on="f"/>
            <v:imagedata r:id="rId23" o:title=""/>
            <o:lock v:ext="edit" aspectratio="f"/>
            <w10:wrap type="none"/>
            <w10:anchorlock/>
          </v:shape>
          <o:OLEObject Type="Embed" ProgID="Excel.Sheet.12" ShapeID="_x0000_i1033" DrawAspect="Content" ObjectID="_1468075733" r:id="rId22">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8" w:firstLineChars="200"/>
        <w:textAlignment w:val="auto"/>
        <w:rPr>
          <w:rFonts w:hint="eastAsia" w:ascii="仿宋" w:hAnsi="仿宋" w:eastAsia="仿宋" w:cs="仿宋"/>
          <w:color w:val="000000"/>
          <w:sz w:val="32"/>
          <w:szCs w:val="32"/>
          <w:lang w:eastAsia="zh-CN"/>
        </w:rPr>
      </w:pPr>
      <w:r>
        <w:rPr>
          <w:rFonts w:hint="eastAsia" w:ascii="仿宋_GB2312" w:hAnsi="仿宋"/>
          <w:b/>
          <w:szCs w:val="32"/>
          <w:lang w:val="en-US" w:eastAsia="zh-CN"/>
        </w:rPr>
        <w:t>3.</w:t>
      </w:r>
      <w:r>
        <w:rPr>
          <w:rFonts w:hint="eastAsia" w:ascii="仿宋_GB2312" w:hAnsi="仿宋"/>
          <w:b/>
          <w:szCs w:val="32"/>
        </w:rPr>
        <w:t>部门评价项目绩效评价结果。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8" w:firstLineChars="200"/>
        <w:textAlignment w:val="auto"/>
        <w:rPr>
          <w:rFonts w:hint="eastAsia" w:ascii="仿宋_GB2312" w:hAnsi="仿宋"/>
          <w:szCs w:val="32"/>
          <w:lang w:val="en-US" w:eastAsia="zh-CN"/>
        </w:rPr>
      </w:pPr>
      <w:r>
        <w:rPr>
          <w:rFonts w:hint="eastAsia" w:ascii="仿宋" w:hAnsi="仿宋" w:eastAsia="仿宋" w:cs="仿宋"/>
          <w:bCs/>
          <w:sz w:val="32"/>
          <w:szCs w:val="32"/>
        </w:rPr>
        <w:t>《</w:t>
      </w: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年度“12345呼叫中心运营外包服务费”项目绩效评价报告》见“第五部分附件”</w:t>
      </w:r>
      <w:r>
        <w:rPr>
          <w:rFonts w:hint="eastAsia" w:ascii="仿宋_GB2312" w:hAnsi="仿宋"/>
          <w:szCs w:val="32"/>
          <w:lang w:eastAsia="zh-CN"/>
        </w:rPr>
        <w:t>。</w:t>
      </w:r>
      <w:r>
        <w:rPr>
          <w:rFonts w:hint="eastAsia" w:ascii="仿宋_GB2312" w:hAnsi="仿宋"/>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8" w:firstLineChars="200"/>
        <w:textAlignment w:val="auto"/>
        <w:rPr>
          <w:rFonts w:hint="eastAsia" w:ascii="仿宋_GB2312" w:hAnsi="仿宋"/>
          <w:szCs w:val="32"/>
          <w:lang w:val="en-US" w:eastAsia="zh-CN"/>
        </w:rPr>
      </w:pPr>
    </w:p>
    <w:p>
      <w:pPr>
        <w:adjustRightInd w:val="0"/>
        <w:snapToGrid w:val="0"/>
        <w:spacing w:line="600" w:lineRule="exact"/>
        <w:ind w:firstLine="628" w:firstLineChars="200"/>
        <w:rPr>
          <w:rFonts w:hint="eastAsia" w:ascii="黑体" w:hAnsi="黑体" w:eastAsia="黑体"/>
          <w:b/>
          <w:bCs/>
          <w:szCs w:val="32"/>
        </w:rPr>
      </w:pPr>
      <w:r>
        <w:rPr>
          <w:rFonts w:hint="eastAsia" w:ascii="黑体" w:hAnsi="黑体" w:eastAsia="黑体"/>
          <w:b/>
          <w:bCs/>
          <w:szCs w:val="32"/>
        </w:rPr>
        <w:t>第四部分 名词解释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28" w:firstLineChars="200"/>
        <w:textAlignment w:val="auto"/>
        <w:rPr>
          <w:rFonts w:hint="eastAsia" w:ascii="仿宋_GB2312" w:hAnsi="仿宋"/>
          <w:szCs w:val="32"/>
        </w:rPr>
      </w:pPr>
      <w:r>
        <w:rPr>
          <w:rFonts w:hint="eastAsia" w:ascii="黑体" w:hAnsi="黑体" w:eastAsia="黑体" w:cs="黑体"/>
          <w:b w:val="0"/>
          <w:bCs/>
          <w:szCs w:val="32"/>
        </w:rPr>
        <w:t>一、财政拨款收入</w:t>
      </w:r>
      <w:r>
        <w:rPr>
          <w:rFonts w:hint="eastAsia" w:ascii="仿宋_GB2312" w:hAnsi="仿宋"/>
          <w:b/>
          <w:szCs w:val="32"/>
        </w:rPr>
        <w:t>：</w:t>
      </w:r>
      <w:r>
        <w:rPr>
          <w:rFonts w:hint="eastAsia" w:ascii="仿宋_GB2312" w:hAnsi="仿宋"/>
          <w:szCs w:val="32"/>
        </w:rPr>
        <w:t>指单位从同级财政部门取得的财政预算资金。</w:t>
      </w:r>
    </w:p>
    <w:p>
      <w:pPr>
        <w:pStyle w:val="6"/>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黑体" w:hAnsi="黑体" w:eastAsia="黑体" w:cs="黑体"/>
          <w:b w:val="0"/>
          <w:bCs/>
          <w:kern w:val="2"/>
          <w:sz w:val="32"/>
          <w:szCs w:val="32"/>
          <w:lang w:val="en-US" w:eastAsia="zh-CN" w:bidi="ar-SA"/>
        </w:rPr>
        <w:t>二、年初结转和结余</w:t>
      </w:r>
      <w:r>
        <w:rPr>
          <w:rFonts w:hint="eastAsia" w:ascii="仿宋_GB2312" w:hAnsi="黑体" w:eastAsia="仿宋_GB2312"/>
          <w:b/>
          <w:bCs/>
          <w:sz w:val="32"/>
          <w:szCs w:val="32"/>
        </w:rPr>
        <w:t>：</w:t>
      </w:r>
      <w:r>
        <w:rPr>
          <w:rFonts w:hint="eastAsia" w:ascii="仿宋_GB2312" w:hAnsi="黑体" w:eastAsia="仿宋_GB2312"/>
          <w:bCs/>
          <w:sz w:val="32"/>
          <w:szCs w:val="32"/>
        </w:rPr>
        <w:t>指以前年度安排、结转到本年仍按原规定用途继续使用的资金。</w:t>
      </w:r>
    </w:p>
    <w:p>
      <w:pPr>
        <w:pStyle w:val="6"/>
        <w:adjustRightInd w:val="0"/>
        <w:snapToGrid w:val="0"/>
        <w:spacing w:before="0" w:beforeAutospacing="0" w:after="0" w:afterAutospacing="0" w:line="600" w:lineRule="exact"/>
        <w:ind w:firstLine="616" w:firstLineChars="196"/>
        <w:rPr>
          <w:rFonts w:hint="eastAsia" w:ascii="仿宋_GB2312" w:hAnsi="黑体" w:eastAsia="仿宋_GB2312"/>
          <w:b/>
          <w:sz w:val="32"/>
          <w:szCs w:val="32"/>
        </w:rPr>
      </w:pPr>
      <w:r>
        <w:rPr>
          <w:rFonts w:hint="eastAsia" w:ascii="黑体" w:hAnsi="黑体" w:eastAsia="黑体" w:cs="黑体"/>
          <w:b w:val="0"/>
          <w:bCs/>
          <w:kern w:val="2"/>
          <w:sz w:val="32"/>
          <w:szCs w:val="32"/>
          <w:lang w:val="en-US" w:eastAsia="zh-CN" w:bidi="ar-SA"/>
        </w:rPr>
        <w:t>三、年末结转和结余</w:t>
      </w:r>
      <w:r>
        <w:rPr>
          <w:rFonts w:hint="eastAsia" w:ascii="仿宋_GB2312" w:hAnsi="黑体" w:eastAsia="仿宋_GB2312"/>
          <w:b/>
          <w:bCs/>
          <w:sz w:val="32"/>
          <w:szCs w:val="32"/>
        </w:rPr>
        <w:t>：</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pPr>
        <w:pStyle w:val="6"/>
        <w:adjustRightInd w:val="0"/>
        <w:snapToGrid w:val="0"/>
        <w:spacing w:before="0" w:beforeAutospacing="0" w:after="0" w:afterAutospacing="0" w:line="600" w:lineRule="exact"/>
        <w:ind w:firstLine="616" w:firstLineChars="196"/>
        <w:rPr>
          <w:rFonts w:hint="eastAsia" w:ascii="仿宋_GB2312" w:hAnsi="黑体" w:eastAsia="仿宋_GB2312"/>
          <w:sz w:val="32"/>
          <w:szCs w:val="32"/>
        </w:rPr>
      </w:pPr>
      <w:r>
        <w:rPr>
          <w:rFonts w:hint="eastAsia" w:ascii="黑体" w:hAnsi="黑体" w:eastAsia="黑体" w:cs="黑体"/>
          <w:b w:val="0"/>
          <w:bCs/>
          <w:kern w:val="2"/>
          <w:sz w:val="32"/>
          <w:szCs w:val="32"/>
          <w:lang w:val="en-US" w:eastAsia="zh-CN" w:bidi="ar-SA"/>
        </w:rPr>
        <w:t>四、基本支出</w:t>
      </w:r>
      <w:r>
        <w:rPr>
          <w:rFonts w:hint="eastAsia" w:ascii="仿宋_GB2312" w:hAnsi="黑体" w:eastAsia="仿宋_GB2312"/>
          <w:b/>
          <w:sz w:val="32"/>
          <w:szCs w:val="32"/>
        </w:rPr>
        <w:t>：</w:t>
      </w:r>
      <w:r>
        <w:rPr>
          <w:rFonts w:hint="eastAsia" w:ascii="仿宋_GB2312" w:hAnsi="黑体" w:eastAsia="仿宋_GB2312"/>
          <w:sz w:val="32"/>
          <w:szCs w:val="32"/>
        </w:rPr>
        <w:t>指单位为保障其机构正常运转、完成日常工作任务而发生的人员支出和公用支出。</w:t>
      </w:r>
    </w:p>
    <w:p>
      <w:pPr>
        <w:pStyle w:val="6"/>
        <w:spacing w:before="0" w:beforeAutospacing="0" w:after="0" w:afterAutospacing="0" w:line="600" w:lineRule="exact"/>
        <w:ind w:firstLine="616" w:firstLineChars="196"/>
        <w:jc w:val="both"/>
        <w:rPr>
          <w:rFonts w:hint="eastAsia" w:ascii="仿宋_GB2312" w:hAnsi="黑体" w:eastAsia="仿宋_GB2312"/>
          <w:sz w:val="32"/>
          <w:szCs w:val="32"/>
          <w:lang w:eastAsia="zh-CN"/>
        </w:rPr>
      </w:pPr>
      <w:r>
        <w:rPr>
          <w:rFonts w:hint="eastAsia" w:ascii="黑体" w:hAnsi="黑体" w:eastAsia="黑体" w:cs="黑体"/>
          <w:b w:val="0"/>
          <w:bCs/>
          <w:kern w:val="2"/>
          <w:sz w:val="32"/>
          <w:szCs w:val="32"/>
          <w:lang w:val="en-US" w:eastAsia="zh-CN" w:bidi="ar-SA"/>
        </w:rPr>
        <w:t>五、项目支出</w:t>
      </w:r>
      <w:r>
        <w:rPr>
          <w:rFonts w:hint="eastAsia" w:ascii="仿宋_GB2312" w:hAnsi="黑体" w:eastAsia="仿宋_GB2312"/>
          <w:b/>
          <w:sz w:val="32"/>
          <w:szCs w:val="32"/>
        </w:rPr>
        <w:t>：</w:t>
      </w:r>
      <w:r>
        <w:rPr>
          <w:rFonts w:hint="eastAsia" w:ascii="仿宋_GB2312" w:hAnsi="黑体" w:eastAsia="仿宋_GB2312"/>
          <w:sz w:val="32"/>
          <w:szCs w:val="32"/>
        </w:rPr>
        <w:t>指单位为完成特定行政任务和事业发展目标在基本支出之外所发生的支出。</w:t>
      </w:r>
    </w:p>
    <w:p>
      <w:pPr>
        <w:pStyle w:val="6"/>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黑体" w:hAnsi="黑体" w:eastAsia="黑体" w:cs="黑体"/>
          <w:b w:val="0"/>
          <w:bCs/>
          <w:kern w:val="2"/>
          <w:sz w:val="32"/>
          <w:szCs w:val="32"/>
          <w:lang w:val="en-US" w:eastAsia="zh-CN" w:bidi="ar-SA"/>
        </w:rPr>
        <w:t>六、“三公”经费</w:t>
      </w:r>
      <w:r>
        <w:rPr>
          <w:rFonts w:hint="eastAsia" w:ascii="仿宋_GB2312" w:hAnsi="黑体" w:eastAsia="仿宋_GB2312"/>
          <w:b/>
          <w:sz w:val="32"/>
          <w:szCs w:val="32"/>
        </w:rPr>
        <w:t>：</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pPr>
        <w:pStyle w:val="6"/>
        <w:spacing w:before="0" w:beforeAutospacing="0" w:after="0" w:afterAutospacing="0" w:line="600" w:lineRule="exact"/>
        <w:ind w:firstLine="616" w:firstLineChars="196"/>
        <w:jc w:val="both"/>
        <w:rPr>
          <w:rFonts w:hint="eastAsia" w:ascii="仿宋_GB2312" w:hAnsi="仿宋" w:eastAsia="仿宋_GB2312" w:cs="Times New Roman"/>
          <w:kern w:val="2"/>
          <w:sz w:val="32"/>
          <w:szCs w:val="32"/>
          <w:lang w:val="en-US" w:eastAsia="zh-CN" w:bidi="ar-SA"/>
        </w:rPr>
      </w:pPr>
      <w:r>
        <w:rPr>
          <w:rFonts w:hint="eastAsia" w:ascii="黑体" w:hAnsi="黑体" w:eastAsia="黑体" w:cs="黑体"/>
          <w:b w:val="0"/>
          <w:bCs/>
          <w:kern w:val="2"/>
          <w:sz w:val="32"/>
          <w:szCs w:val="32"/>
          <w:lang w:val="en-US" w:eastAsia="zh-CN" w:bidi="ar-SA"/>
        </w:rPr>
        <w:t>七、机关运行经费</w:t>
      </w:r>
      <w:r>
        <w:rPr>
          <w:rFonts w:hint="eastAsia" w:ascii="仿宋_GB2312" w:hAnsi="黑体" w:eastAsia="仿宋_GB2312"/>
          <w:sz w:val="32"/>
          <w:szCs w:val="32"/>
        </w:rPr>
        <w:t>：</w:t>
      </w:r>
      <w:r>
        <w:rPr>
          <w:rFonts w:hint="eastAsia" w:ascii="仿宋_GB2312" w:hAnsi="仿宋" w:eastAsia="仿宋_GB2312" w:cs="Times New Roman"/>
          <w:kern w:val="2"/>
          <w:sz w:val="32"/>
          <w:szCs w:val="32"/>
          <w:lang w:val="en-US" w:eastAsia="zh-CN" w:bidi="ar-SA"/>
        </w:rPr>
        <w:t>指为保障行政单位（含参照公务员法管理的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p>
    <w:p>
      <w:pPr>
        <w:pStyle w:val="6"/>
        <w:spacing w:before="0" w:beforeAutospacing="0" w:after="0" w:afterAutospacing="0" w:line="600" w:lineRule="exact"/>
        <w:ind w:firstLine="616" w:firstLineChars="196"/>
        <w:jc w:val="both"/>
        <w:rPr>
          <w:rFonts w:hint="eastAsia" w:ascii="仿宋_GB2312" w:hAnsi="仿宋" w:eastAsia="仿宋_GB2312" w:cs="Times New Roman"/>
          <w:kern w:val="2"/>
          <w:sz w:val="32"/>
          <w:szCs w:val="32"/>
          <w:lang w:val="en-US" w:eastAsia="zh-CN" w:bidi="ar-SA"/>
        </w:rPr>
      </w:pPr>
    </w:p>
    <w:p>
      <w:pPr>
        <w:adjustRightInd w:val="0"/>
        <w:snapToGrid w:val="0"/>
        <w:spacing w:line="600" w:lineRule="exact"/>
        <w:ind w:firstLine="628" w:firstLineChars="200"/>
        <w:rPr>
          <w:rFonts w:hint="eastAsia" w:ascii="宋体" w:hAnsi="宋体"/>
          <w:b/>
          <w:bCs/>
          <w:sz w:val="36"/>
          <w:szCs w:val="36"/>
        </w:rPr>
      </w:pPr>
      <w:r>
        <w:rPr>
          <w:rFonts w:hint="eastAsia" w:ascii="黑体" w:hAnsi="黑体" w:eastAsia="黑体"/>
          <w:b/>
          <w:bCs/>
          <w:szCs w:val="32"/>
        </w:rPr>
        <w:t>第</w:t>
      </w:r>
      <w:r>
        <w:rPr>
          <w:rFonts w:hint="eastAsia" w:ascii="黑体" w:hAnsi="黑体" w:eastAsia="黑体"/>
          <w:b/>
          <w:bCs/>
          <w:szCs w:val="32"/>
          <w:lang w:eastAsia="zh-CN"/>
        </w:rPr>
        <w:t>五</w:t>
      </w:r>
      <w:r>
        <w:rPr>
          <w:rFonts w:hint="eastAsia" w:ascii="黑体" w:hAnsi="黑体" w:eastAsia="黑体"/>
          <w:b/>
          <w:bCs/>
          <w:szCs w:val="32"/>
        </w:rPr>
        <w:t xml:space="preserve">部分 </w:t>
      </w:r>
      <w:r>
        <w:rPr>
          <w:rFonts w:hint="eastAsia" w:ascii="黑体" w:hAnsi="黑体" w:eastAsia="黑体"/>
          <w:b/>
          <w:bCs/>
          <w:szCs w:val="32"/>
          <w:lang w:eastAsia="zh-CN"/>
        </w:rPr>
        <w:t>附件</w:t>
      </w:r>
    </w:p>
    <w:p>
      <w:pPr>
        <w:ind w:left="15" w:leftChars="0" w:firstLine="600" w:firstLineChars="191"/>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2021年度“12345呼叫中心运营外包服务费”项目支出绩效评价报告</w:t>
      </w:r>
    </w:p>
    <w:p>
      <w:pPr>
        <w:keepNext w:val="0"/>
        <w:keepLines w:val="0"/>
        <w:pageBreakBefore w:val="0"/>
        <w:widowControl/>
        <w:kinsoku/>
        <w:wordWrap/>
        <w:overflowPunct/>
        <w:topLinePunct w:val="0"/>
        <w:autoSpaceDE/>
        <w:autoSpaceDN/>
        <w:bidi w:val="0"/>
        <w:adjustRightInd/>
        <w:snapToGrid/>
        <w:spacing w:line="570" w:lineRule="exact"/>
        <w:ind w:firstLine="628"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szCs w:val="32"/>
          <w:lang w:eastAsia="zh-CN"/>
        </w:rPr>
        <w:t>一、基本情况</w:t>
      </w:r>
    </w:p>
    <w:p>
      <w:pPr>
        <w:keepNext w:val="0"/>
        <w:keepLines w:val="0"/>
        <w:pageBreakBefore w:val="0"/>
        <w:widowControl/>
        <w:kinsoku/>
        <w:wordWrap/>
        <w:overflowPunct/>
        <w:topLinePunct w:val="0"/>
        <w:autoSpaceDE/>
        <w:autoSpaceDN/>
        <w:bidi w:val="0"/>
        <w:adjustRightInd/>
        <w:spacing w:line="570" w:lineRule="exact"/>
        <w:ind w:firstLine="628" w:firstLineChars="200"/>
        <w:jc w:val="both"/>
        <w:textAlignment w:val="auto"/>
        <w:rPr>
          <w:rFonts w:hint="eastAsia" w:eastAsia="方正仿宋_GBK" w:asciiTheme="minorHAnsi" w:hAnsiTheme="minorHAnsi" w:cstheme="minorBidi"/>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（一）项目概况</w:t>
      </w:r>
    </w:p>
    <w:p>
      <w:pPr>
        <w:adjustRightInd w:val="0"/>
        <w:snapToGrid w:val="0"/>
        <w:spacing w:line="600" w:lineRule="exact"/>
        <w:ind w:firstLine="628" w:firstLineChars="200"/>
        <w:rPr>
          <w:rFonts w:hint="eastAsia" w:ascii="仿宋_GB2312" w:hAnsi="仿宋"/>
          <w:szCs w:val="32"/>
          <w:lang w:val="en-US" w:eastAsia="zh-CN"/>
        </w:rPr>
      </w:pPr>
      <w:r>
        <w:rPr>
          <w:rFonts w:hint="eastAsia" w:ascii="仿宋_GB2312" w:hAnsi="仿宋"/>
          <w:szCs w:val="32"/>
          <w:lang w:val="en-US" w:eastAsia="zh-CN"/>
        </w:rPr>
        <w:t>根据全省政府热线工作会议要求，市委市政府在原“市长热线电话”基础上，采用全国通行的</w:t>
      </w:r>
      <w:r>
        <w:rPr>
          <w:rFonts w:hint="default" w:ascii="仿宋_GB2312" w:hAnsi="仿宋"/>
          <w:szCs w:val="32"/>
          <w:lang w:val="en-US" w:eastAsia="zh-CN"/>
        </w:rPr>
        <w:t>12345</w:t>
      </w:r>
      <w:r>
        <w:rPr>
          <w:rFonts w:hint="eastAsia" w:ascii="仿宋_GB2312" w:hAnsi="仿宋"/>
          <w:szCs w:val="32"/>
          <w:lang w:val="en-US" w:eastAsia="zh-CN"/>
        </w:rPr>
        <w:t>政务服务特别号码，将市长热线全面升级成</w:t>
      </w:r>
      <w:r>
        <w:rPr>
          <w:rFonts w:hint="default" w:ascii="仿宋_GB2312" w:hAnsi="仿宋"/>
          <w:szCs w:val="32"/>
          <w:lang w:val="en-US" w:eastAsia="zh-CN"/>
        </w:rPr>
        <w:t>12345</w:t>
      </w:r>
      <w:r>
        <w:rPr>
          <w:rFonts w:hint="eastAsia" w:ascii="仿宋_GB2312" w:hAnsi="仿宋"/>
          <w:szCs w:val="32"/>
          <w:lang w:val="en-US" w:eastAsia="zh-CN"/>
        </w:rPr>
        <w:t>呼叫中心（以下简称呼叫中心），成为拥有“政务热线、投诉受理、生活(旅游)服务、辅助应急指挥”四大功能的政务服务热线平台。该项目地址位于屯溪区迎宾大道32号智慧大楼四楼，呼叫中心实际使用面积673.7平方米，设有办公大厅、会议室、接待室、夜班值班室及员工休息室等功能区，现有工作人员44名（含新增话务员14名），其中客服坐席人员39名，管理人员2名，财务、人力及行政人员3名。内设有电话受理中心、网络受理中心和转办督办中心3个工作机构。电话受理中心分为三个班组运行，7*24小时持续接听群众来电。</w:t>
      </w:r>
    </w:p>
    <w:p>
      <w:pPr>
        <w:adjustRightInd w:val="0"/>
        <w:snapToGrid w:val="0"/>
        <w:spacing w:line="600" w:lineRule="exact"/>
        <w:ind w:firstLine="628" w:firstLineChars="200"/>
        <w:rPr>
          <w:rFonts w:hint="default" w:ascii="仿宋_GB2312" w:hAnsi="仿宋"/>
          <w:szCs w:val="32"/>
          <w:lang w:val="en-US" w:eastAsia="zh-CN"/>
        </w:rPr>
      </w:pPr>
      <w:r>
        <w:rPr>
          <w:rFonts w:hint="eastAsia" w:ascii="仿宋_GB2312" w:hAnsi="仿宋"/>
          <w:szCs w:val="32"/>
          <w:lang w:val="en-US" w:eastAsia="zh-CN"/>
        </w:rPr>
        <w:t>呼叫中心经政府采购由黄山讯飞科技有限公司具体运营，服务期3年，每年签订一次合同，服务价格290万元/年。根据《国务院办公厅关于进一步优化地方政务服务便民热线的指导意见》要求，我市于2021年10月底全面完成各部门热线归并整合任务，实现12345一个号码对外服务。归并后新增14名全职话务人员，继续政府采购签订补充合同--《黄山市</w:t>
      </w:r>
      <w:r>
        <w:rPr>
          <w:rFonts w:hint="default" w:ascii="仿宋_GB2312" w:hAnsi="仿宋"/>
          <w:szCs w:val="32"/>
          <w:lang w:val="en-US" w:eastAsia="zh-CN"/>
        </w:rPr>
        <w:t>12345</w:t>
      </w:r>
      <w:r>
        <w:rPr>
          <w:rFonts w:hint="eastAsia" w:ascii="仿宋_GB2312" w:hAnsi="仿宋"/>
          <w:szCs w:val="32"/>
          <w:lang w:val="en-US" w:eastAsia="zh-CN"/>
        </w:rPr>
        <w:t>统一呼叫中心新增话务员采购项目合同》，合同期限从2021年11月1日起至2023年</w:t>
      </w:r>
      <w:r>
        <w:rPr>
          <w:rFonts w:hint="default" w:ascii="仿宋_GB2312" w:hAnsi="仿宋"/>
          <w:szCs w:val="32"/>
          <w:lang w:val="en-US" w:eastAsia="zh-CN"/>
        </w:rPr>
        <w:t>5</w:t>
      </w:r>
      <w:r>
        <w:rPr>
          <w:rFonts w:hint="eastAsia" w:ascii="仿宋_GB2312" w:hAnsi="仿宋"/>
          <w:szCs w:val="32"/>
          <w:lang w:val="en-US" w:eastAsia="zh-CN"/>
        </w:rPr>
        <w:t>月31日，与主合同一致，总价格131.86万元，计6.94万元/月。2021年，该项目顺利实施，项目经费由财政全额拨款，全年预算数297万元，执行数297万元，执行率100.0%。</w:t>
      </w:r>
    </w:p>
    <w:p>
      <w:pPr>
        <w:keepNext w:val="0"/>
        <w:keepLines w:val="0"/>
        <w:pageBreakBefore w:val="0"/>
        <w:widowControl/>
        <w:kinsoku/>
        <w:wordWrap/>
        <w:overflowPunct/>
        <w:topLinePunct w:val="0"/>
        <w:autoSpaceDE/>
        <w:autoSpaceDN/>
        <w:bidi w:val="0"/>
        <w:adjustRightInd/>
        <w:spacing w:line="570" w:lineRule="exact"/>
        <w:ind w:firstLine="628"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（二）项目绩效目标</w:t>
      </w:r>
    </w:p>
    <w:p>
      <w:pPr>
        <w:adjustRightInd w:val="0"/>
        <w:snapToGrid w:val="0"/>
        <w:spacing w:line="600" w:lineRule="exact"/>
        <w:ind w:firstLine="628" w:firstLineChars="200"/>
        <w:rPr>
          <w:rFonts w:hint="eastAsia" w:ascii="仿宋_GB2312" w:hAnsi="仿宋"/>
          <w:szCs w:val="32"/>
          <w:lang w:val="en-US" w:eastAsia="zh-CN"/>
        </w:rPr>
      </w:pPr>
      <w:r>
        <w:rPr>
          <w:rFonts w:hint="eastAsia" w:ascii="仿宋_GB2312" w:hAnsi="仿宋"/>
          <w:szCs w:val="32"/>
          <w:lang w:val="en-US" w:eastAsia="zh-CN"/>
        </w:rPr>
        <w:t>总体目标：受理各类人民群众、社会组织和外来投资者对政府机关、公用企事业单位工作的意见、建议和批评；对政府机关、公用企事业单位工作人员工作作风、服务质量、办事效能、违法违规行为等方面的投诉、举报、意见和批评；对市经济建设、社会公用事业、城市建设与管理等方面的意见、建议和批评；反映社会生产生活中的热点、难点问题；向政府机关、公用企事业单位求助的事项；对政策规定、政务公开、公共服务、办事指南等方面的咨询；政府职责范围内的其他有关问题。对涉及军事、司法、人大、政协机关和党务、信访等方面的投诉、举报、批评、意见、建议和咨询不予受理，但会引导诉求人直接向有关机关投诉、咨询。同时整合市民生活服务查询和预订功能，为市民、游客提供咨询服务。</w:t>
      </w:r>
    </w:p>
    <w:p>
      <w:pPr>
        <w:adjustRightInd w:val="0"/>
        <w:snapToGrid w:val="0"/>
        <w:spacing w:line="600" w:lineRule="exact"/>
        <w:ind w:firstLine="628" w:firstLineChars="200"/>
        <w:rPr>
          <w:rFonts w:hint="eastAsia" w:ascii="仿宋_GB2312" w:hAnsi="仿宋"/>
          <w:szCs w:val="32"/>
          <w:lang w:val="en-US" w:eastAsia="zh-CN"/>
        </w:rPr>
      </w:pPr>
      <w:r>
        <w:rPr>
          <w:rFonts w:hint="eastAsia" w:ascii="仿宋_GB2312" w:hAnsi="仿宋"/>
          <w:szCs w:val="32"/>
          <w:lang w:val="en-US" w:eastAsia="zh-CN"/>
        </w:rPr>
        <w:t>阶段性目标：一是加强呼叫中心的诉求接受、分发交办、催办督办、回访调查、答复反馈、受理公开、监督考核等工作制度化管理；二是提高舆情应对能力，加强为民服务水平；三是提高热线精细化水平，构建政务热线新格局。</w:t>
      </w:r>
    </w:p>
    <w:p>
      <w:pPr>
        <w:keepNext w:val="0"/>
        <w:keepLines w:val="0"/>
        <w:pageBreakBefore w:val="0"/>
        <w:widowControl w:val="0"/>
        <w:kinsoku/>
        <w:wordWrap/>
        <w:overflowPunct/>
        <w:topLinePunct w:val="0"/>
        <w:autoSpaceDE/>
        <w:autoSpaceDN/>
        <w:bidi w:val="0"/>
        <w:adjustRightInd w:val="0"/>
        <w:snapToGrid w:val="0"/>
        <w:spacing w:line="600" w:lineRule="exact"/>
        <w:ind w:firstLine="628" w:firstLineChars="200"/>
        <w:textAlignment w:val="auto"/>
        <w:rPr>
          <w:rFonts w:hint="eastAsia" w:ascii="黑体" w:hAnsi="黑体" w:eastAsia="黑体" w:cs="黑体"/>
          <w:b w:val="0"/>
          <w:bCs/>
          <w:szCs w:val="32"/>
          <w:lang w:eastAsia="zh-CN"/>
        </w:rPr>
      </w:pPr>
      <w:r>
        <w:rPr>
          <w:rFonts w:hint="eastAsia" w:ascii="黑体" w:hAnsi="黑体" w:eastAsia="黑体" w:cs="黑体"/>
          <w:b w:val="0"/>
          <w:bCs/>
          <w:szCs w:val="32"/>
          <w:lang w:val="en-US" w:eastAsia="zh-CN"/>
        </w:rPr>
        <w:t>二、</w:t>
      </w:r>
      <w:r>
        <w:rPr>
          <w:rFonts w:hint="eastAsia" w:ascii="黑体" w:hAnsi="黑体" w:eastAsia="黑体" w:cs="黑体"/>
          <w:b w:val="0"/>
          <w:bCs/>
          <w:szCs w:val="32"/>
          <w:lang w:eastAsia="zh-CN"/>
        </w:rPr>
        <w:t>绩效评价工作开展情况</w:t>
      </w:r>
    </w:p>
    <w:p>
      <w:pPr>
        <w:keepNext w:val="0"/>
        <w:keepLines w:val="0"/>
        <w:pageBreakBefore w:val="0"/>
        <w:widowControl/>
        <w:kinsoku/>
        <w:wordWrap/>
        <w:overflowPunct/>
        <w:topLinePunct w:val="0"/>
        <w:autoSpaceDE/>
        <w:autoSpaceDN/>
        <w:bidi w:val="0"/>
        <w:adjustRightInd/>
        <w:spacing w:line="570" w:lineRule="exact"/>
        <w:ind w:firstLine="628"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仿宋_GB2312" w:hAnsi="宋体" w:eastAsia="仿宋_GB2312" w:cs="宋体"/>
          <w:kern w:val="0"/>
          <w:sz w:val="32"/>
          <w:szCs w:val="32"/>
          <w:lang w:val="en-US" w:eastAsia="zh-CN" w:bidi="ar-SA"/>
        </w:rPr>
        <w:t>根</w:t>
      </w:r>
      <w:r>
        <w:rPr>
          <w:rFonts w:hint="eastAsia" w:ascii="仿宋_GB2312" w:hAnsi="仿宋"/>
          <w:szCs w:val="32"/>
          <w:lang w:val="en-US" w:eastAsia="zh-CN"/>
        </w:rPr>
        <w:t>据《黄山市市级预算绩效管理实施方案》（黄财绩〔2020〕184号）有关要求，市政府办选择确定对该项目进行绩效评价</w:t>
      </w:r>
      <w:r>
        <w:rPr>
          <w:rFonts w:hint="eastAsia" w:ascii="仿宋_GB2312" w:hAnsi="宋体" w:eastAsia="仿宋_GB2312" w:cs="宋体"/>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pacing w:line="570" w:lineRule="exact"/>
        <w:ind w:firstLine="628"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kern w:val="0"/>
          <w:sz w:val="32"/>
          <w:szCs w:val="32"/>
          <w:lang w:eastAsia="zh-CN"/>
        </w:rPr>
        <w:t>（</w:t>
      </w:r>
      <w:r>
        <w:rPr>
          <w:rFonts w:hint="eastAsia" w:ascii="方正楷体_GBK" w:hAnsi="方正楷体_GBK" w:eastAsia="方正楷体_GBK" w:cs="方正楷体_GBK"/>
          <w:b/>
          <w:bCs/>
          <w:color w:val="auto"/>
          <w:sz w:val="32"/>
          <w:szCs w:val="32"/>
          <w:lang w:val="en-US" w:eastAsia="zh-CN"/>
        </w:rPr>
        <w:t>一）</w:t>
      </w:r>
      <w:r>
        <w:rPr>
          <w:rFonts w:hint="eastAsia" w:ascii="FangSong_GB2312" w:hAnsi="FangSong_GB2312" w:eastAsia="FangSong_GB2312"/>
          <w:b/>
          <w:bCs/>
          <w:sz w:val="32"/>
          <w:szCs w:val="24"/>
        </w:rPr>
        <w:t>绩效评价目的、对象和范围。</w:t>
      </w:r>
    </w:p>
    <w:p>
      <w:pPr>
        <w:adjustRightInd w:val="0"/>
        <w:snapToGrid w:val="0"/>
        <w:spacing w:line="600" w:lineRule="exact"/>
        <w:ind w:firstLine="628" w:firstLineChars="200"/>
        <w:rPr>
          <w:rFonts w:hint="eastAsia" w:ascii="仿宋_GB2312" w:hAnsi="仿宋"/>
          <w:szCs w:val="32"/>
          <w:lang w:val="en-US" w:eastAsia="zh-CN"/>
        </w:rPr>
      </w:pPr>
      <w:r>
        <w:rPr>
          <w:rFonts w:hint="eastAsia" w:ascii="仿宋_GB2312" w:hAnsi="仿宋"/>
          <w:szCs w:val="32"/>
          <w:lang w:val="en-US" w:eastAsia="zh-CN"/>
        </w:rPr>
        <w:t>通过实施绩效评价，充分了解项目资金使用情况，发现项目管理存在的问题并提出改进措施，总结经验、查找不足，提高项目资金的使用效益，进一步加强财政支出的规范化管理。</w:t>
      </w:r>
    </w:p>
    <w:p>
      <w:pPr>
        <w:adjustRightInd w:val="0"/>
        <w:snapToGrid w:val="0"/>
        <w:spacing w:line="600" w:lineRule="exact"/>
        <w:ind w:firstLine="628" w:firstLineChars="200"/>
        <w:rPr>
          <w:rFonts w:hint="eastAsia" w:ascii="仿宋_GB2312" w:hAnsi="仿宋"/>
          <w:szCs w:val="32"/>
          <w:lang w:val="en-US" w:eastAsia="zh-CN"/>
        </w:rPr>
      </w:pPr>
      <w:r>
        <w:rPr>
          <w:rFonts w:hint="eastAsia" w:ascii="仿宋_GB2312" w:hAnsi="仿宋"/>
          <w:szCs w:val="32"/>
          <w:lang w:val="en-US" w:eastAsia="zh-CN"/>
        </w:rPr>
        <w:t>绩效评价的对象：呼叫中心</w:t>
      </w:r>
    </w:p>
    <w:p>
      <w:pPr>
        <w:adjustRightInd w:val="0"/>
        <w:snapToGrid w:val="0"/>
        <w:spacing w:line="600" w:lineRule="exact"/>
        <w:ind w:firstLine="628" w:firstLineChars="200"/>
        <w:rPr>
          <w:rFonts w:hint="eastAsia" w:ascii="仿宋_GB2312" w:hAnsi="仿宋"/>
          <w:szCs w:val="32"/>
          <w:lang w:val="en-US" w:eastAsia="zh-CN"/>
        </w:rPr>
      </w:pPr>
      <w:r>
        <w:rPr>
          <w:rFonts w:hint="eastAsia" w:ascii="仿宋_GB2312" w:hAnsi="仿宋"/>
          <w:szCs w:val="32"/>
          <w:lang w:val="en-US" w:eastAsia="zh-CN"/>
        </w:rPr>
        <w:t>绩效评价的范围：一是财政资金使用情况；二是绩效目标的实现程度等。</w:t>
      </w:r>
    </w:p>
    <w:p>
      <w:pPr>
        <w:keepNext w:val="0"/>
        <w:keepLines w:val="0"/>
        <w:pageBreakBefore w:val="0"/>
        <w:widowControl/>
        <w:kinsoku/>
        <w:wordWrap/>
        <w:overflowPunct/>
        <w:topLinePunct w:val="0"/>
        <w:autoSpaceDE/>
        <w:autoSpaceDN/>
        <w:bidi w:val="0"/>
        <w:adjustRightInd/>
        <w:spacing w:line="570" w:lineRule="exact"/>
        <w:ind w:firstLine="628" w:firstLineChars="200"/>
        <w:jc w:val="both"/>
        <w:textAlignment w:val="auto"/>
        <w:rPr>
          <w:rFonts w:hint="eastAsia" w:ascii="方正楷体_GBK" w:hAnsi="方正楷体_GBK" w:eastAsia="方正楷体_GBK" w:cs="方正楷体_GBK"/>
          <w:b/>
          <w:bCs/>
          <w:color w:val="auto"/>
          <w:kern w:val="0"/>
          <w:sz w:val="32"/>
          <w:szCs w:val="32"/>
          <w:lang w:val="en-US" w:eastAsia="zh-CN"/>
        </w:rPr>
      </w:pPr>
      <w:r>
        <w:rPr>
          <w:rFonts w:hint="eastAsia" w:ascii="方正楷体_GBK" w:hAnsi="方正楷体_GBK" w:eastAsia="方正楷体_GBK" w:cs="方正楷体_GBK"/>
          <w:b/>
          <w:bCs/>
          <w:color w:val="auto"/>
          <w:kern w:val="0"/>
          <w:sz w:val="32"/>
          <w:szCs w:val="32"/>
          <w:lang w:val="en-US" w:eastAsia="zh-CN"/>
        </w:rPr>
        <w:t>（二）绩效评价原则、评价指标体系、评价方法、评价标准。</w:t>
      </w:r>
    </w:p>
    <w:p>
      <w:pPr>
        <w:adjustRightInd w:val="0"/>
        <w:snapToGrid w:val="0"/>
        <w:spacing w:line="600" w:lineRule="exact"/>
        <w:ind w:firstLine="628" w:firstLineChars="200"/>
        <w:rPr>
          <w:rFonts w:hint="eastAsia" w:ascii="仿宋_GB2312" w:hAnsi="仿宋"/>
          <w:szCs w:val="32"/>
          <w:lang w:val="en-US" w:eastAsia="zh-CN"/>
        </w:rPr>
      </w:pPr>
      <w:r>
        <w:rPr>
          <w:rFonts w:hint="eastAsia" w:ascii="仿宋_GB2312" w:hAnsi="仿宋"/>
          <w:szCs w:val="32"/>
          <w:lang w:val="en-US" w:eastAsia="zh-CN"/>
        </w:rPr>
        <w:t>绩效评价原则：遵循实事求是、客观公正、公开透明的原则进行绩效评价，运用科学合理的方法，充分运用评价结果，将其与预算安排相结合，促进政策调整、管理水平提升。</w:t>
      </w:r>
    </w:p>
    <w:p>
      <w:pPr>
        <w:adjustRightInd w:val="0"/>
        <w:snapToGrid w:val="0"/>
        <w:spacing w:line="600" w:lineRule="exact"/>
        <w:ind w:firstLine="628" w:firstLineChars="200"/>
        <w:rPr>
          <w:rFonts w:hint="eastAsia" w:ascii="仿宋_GB2312" w:hAnsi="仿宋"/>
          <w:szCs w:val="32"/>
          <w:lang w:val="en-US" w:eastAsia="zh-CN"/>
        </w:rPr>
      </w:pPr>
      <w:r>
        <w:rPr>
          <w:rFonts w:hint="eastAsia" w:ascii="仿宋_GB2312" w:hAnsi="仿宋"/>
          <w:szCs w:val="32"/>
          <w:lang w:val="en-US" w:eastAsia="zh-CN"/>
        </w:rPr>
        <w:t>评价指标体系：科学设置评价指标体系，从过程、产出、效益、满意度等四个方面进行评价，具体包括绩效目标、资金投入、资金管理、组织实施、产出数量、产出质量、产出时效、经济效益、社会效益、生态效益、可持续影响、服务对象满意度等二级指标。</w:t>
      </w:r>
    </w:p>
    <w:p>
      <w:pPr>
        <w:adjustRightInd w:val="0"/>
        <w:snapToGrid w:val="0"/>
        <w:spacing w:line="600" w:lineRule="exact"/>
        <w:ind w:firstLine="628" w:firstLineChars="200"/>
        <w:rPr>
          <w:rFonts w:hint="eastAsia" w:ascii="仿宋_GB2312" w:hAnsi="仿宋"/>
          <w:szCs w:val="32"/>
          <w:lang w:val="en-US" w:eastAsia="zh-CN"/>
        </w:rPr>
      </w:pPr>
      <w:r>
        <w:rPr>
          <w:rFonts w:hint="eastAsia" w:ascii="仿宋_GB2312" w:hAnsi="仿宋"/>
          <w:szCs w:val="32"/>
          <w:lang w:val="en-US" w:eastAsia="zh-CN"/>
        </w:rPr>
        <w:t>评价方法：采用定性描述和定量分析法相结合的方法，客观确定项目预期绩效目标的实现程度。采用比较法，对比实际成效与绩效目标的偏差，进行效益分析。</w:t>
      </w:r>
    </w:p>
    <w:p>
      <w:pPr>
        <w:adjustRightInd w:val="0"/>
        <w:snapToGrid w:val="0"/>
        <w:spacing w:line="600" w:lineRule="exact"/>
        <w:ind w:firstLine="628" w:firstLineChars="200"/>
        <w:rPr>
          <w:rFonts w:hint="eastAsia" w:ascii="仿宋_GB2312" w:hAnsi="宋体" w:eastAsia="仿宋_GB2312" w:cs="宋体"/>
          <w:kern w:val="0"/>
          <w:sz w:val="32"/>
          <w:szCs w:val="32"/>
          <w:lang w:val="en-US" w:eastAsia="zh-CN" w:bidi="ar-SA"/>
        </w:rPr>
      </w:pPr>
      <w:r>
        <w:rPr>
          <w:rFonts w:hint="eastAsia" w:ascii="仿宋_GB2312" w:hAnsi="仿宋"/>
          <w:szCs w:val="32"/>
          <w:lang w:val="en-US" w:eastAsia="zh-CN"/>
        </w:rPr>
        <w:t>评价标准：主要为计划标准、行业标准、历史标准，以预先制定的目标、计划、预算等作为评价标准</w:t>
      </w:r>
      <w:r>
        <w:rPr>
          <w:rFonts w:hint="eastAsia" w:ascii="仿宋_GB2312" w:hAnsi="宋体" w:eastAsia="仿宋_GB2312" w:cs="宋体"/>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pacing w:line="570" w:lineRule="exact"/>
        <w:ind w:firstLine="628" w:firstLineChars="200"/>
        <w:jc w:val="both"/>
        <w:textAlignment w:val="auto"/>
        <w:rPr>
          <w:rFonts w:hint="eastAsia" w:ascii="方正楷体_GBK" w:hAnsi="方正楷体_GBK" w:eastAsia="方正楷体_GBK" w:cs="方正楷体_GBK"/>
          <w:b/>
          <w:bCs/>
          <w:color w:val="auto"/>
          <w:kern w:val="0"/>
          <w:sz w:val="32"/>
          <w:szCs w:val="32"/>
          <w:lang w:val="en-US" w:eastAsia="zh-CN"/>
        </w:rPr>
      </w:pPr>
      <w:r>
        <w:rPr>
          <w:rFonts w:hint="eastAsia" w:ascii="方正楷体_GBK" w:hAnsi="方正楷体_GBK" w:eastAsia="方正楷体_GBK" w:cs="方正楷体_GBK"/>
          <w:b/>
          <w:bCs/>
          <w:color w:val="auto"/>
          <w:kern w:val="0"/>
          <w:sz w:val="32"/>
          <w:szCs w:val="32"/>
          <w:lang w:val="en-US" w:eastAsia="zh-CN"/>
        </w:rPr>
        <w:t>（三）绩效评价工作过程</w:t>
      </w:r>
    </w:p>
    <w:p>
      <w:pPr>
        <w:adjustRightInd w:val="0"/>
        <w:snapToGrid w:val="0"/>
        <w:spacing w:line="600" w:lineRule="exact"/>
        <w:ind w:firstLine="628" w:firstLineChars="200"/>
        <w:rPr>
          <w:rFonts w:hint="eastAsia" w:ascii="仿宋_GB2312" w:hAnsi="仿宋"/>
          <w:szCs w:val="32"/>
          <w:lang w:val="en-US" w:eastAsia="zh-CN"/>
        </w:rPr>
      </w:pPr>
      <w:r>
        <w:rPr>
          <w:rFonts w:hint="eastAsia" w:ascii="仿宋_GB2312" w:hAnsi="仿宋"/>
          <w:szCs w:val="32"/>
          <w:lang w:val="en-US" w:eastAsia="zh-CN"/>
        </w:rPr>
        <w:t>明确评价的内容、方法和步骤，掌握该项目相关情况，科学设定评价指标体系，制定评价工作方案，按规定程序组织实施。通过报表统计收集，了解项目资金到位情况、项目实际支出情况；核实相关数据资料，对项目的实施过程和成果资料进行分类、汇总、分析，评价该项目预期目标实现情况，对照指标体系打分，形成评价结论，并提出存在问题、建议和意见。对本项目的分析评价全面完整，整个评价过程客观公正。</w:t>
      </w:r>
    </w:p>
    <w:p>
      <w:pPr>
        <w:keepNext w:val="0"/>
        <w:keepLines w:val="0"/>
        <w:pageBreakBefore w:val="0"/>
        <w:widowControl/>
        <w:kinsoku/>
        <w:wordWrap/>
        <w:overflowPunct/>
        <w:topLinePunct w:val="0"/>
        <w:autoSpaceDE/>
        <w:autoSpaceDN/>
        <w:bidi w:val="0"/>
        <w:adjustRightInd/>
        <w:snapToGrid/>
        <w:spacing w:line="570" w:lineRule="exact"/>
        <w:ind w:firstLine="628" w:firstLineChars="200"/>
        <w:jc w:val="both"/>
        <w:textAlignment w:val="auto"/>
        <w:rPr>
          <w:rFonts w:hint="eastAsia" w:ascii="黑体" w:hAnsi="黑体" w:eastAsia="黑体" w:cs="黑体"/>
          <w:color w:val="auto"/>
          <w:sz w:val="32"/>
          <w:szCs w:val="32"/>
        </w:rPr>
      </w:pPr>
      <w:r>
        <w:rPr>
          <w:rFonts w:hint="eastAsia" w:ascii="黑体" w:hAnsi="黑体" w:eastAsia="黑体" w:cs="黑体"/>
          <w:b w:val="0"/>
          <w:bCs/>
          <w:szCs w:val="32"/>
          <w:lang w:eastAsia="zh-CN"/>
        </w:rPr>
        <w:t>三、</w:t>
      </w:r>
      <w:r>
        <w:rPr>
          <w:rFonts w:hint="eastAsia" w:ascii="黑体" w:hAnsi="黑体" w:eastAsia="黑体" w:cs="黑体"/>
          <w:b w:val="0"/>
          <w:bCs/>
          <w:szCs w:val="32"/>
        </w:rPr>
        <w:t>综合评价情况及评价结论</w:t>
      </w:r>
    </w:p>
    <w:p>
      <w:pPr>
        <w:keepNext w:val="0"/>
        <w:keepLines w:val="0"/>
        <w:pageBreakBefore w:val="0"/>
        <w:widowControl/>
        <w:kinsoku/>
        <w:wordWrap/>
        <w:overflowPunct/>
        <w:topLinePunct w:val="0"/>
        <w:autoSpaceDE/>
        <w:autoSpaceDN/>
        <w:bidi w:val="0"/>
        <w:adjustRightInd/>
        <w:snapToGrid/>
        <w:spacing w:line="570" w:lineRule="exact"/>
        <w:ind w:firstLine="628" w:firstLineChars="200"/>
        <w:jc w:val="both"/>
        <w:textAlignment w:val="auto"/>
        <w:rPr>
          <w:rFonts w:hint="eastAsia" w:ascii="仿宋_GB2312" w:hAnsi="仿宋"/>
          <w:szCs w:val="32"/>
          <w:lang w:val="en-US" w:eastAsia="zh-CN"/>
        </w:rPr>
      </w:pPr>
      <w:r>
        <w:rPr>
          <w:rFonts w:hint="eastAsia" w:ascii="仿宋_GB2312" w:hAnsi="仿宋"/>
          <w:szCs w:val="32"/>
          <w:lang w:val="en-US" w:eastAsia="zh-CN"/>
        </w:rPr>
        <w:t>根据事先设定的指标、指标值进行对比分析，逐一对照打分，最终评分为100分，评级为“优”。评价认为，能按照部署要求实施该项目，过程严谨，产出数量和质量都达到或超过预期，产生的较好社会效益，完成了年度目标任务。</w:t>
      </w:r>
    </w:p>
    <w:p>
      <w:pPr>
        <w:keepNext w:val="0"/>
        <w:keepLines w:val="0"/>
        <w:pageBreakBefore w:val="0"/>
        <w:widowControl/>
        <w:kinsoku/>
        <w:wordWrap/>
        <w:overflowPunct/>
        <w:topLinePunct w:val="0"/>
        <w:autoSpaceDE/>
        <w:autoSpaceDN/>
        <w:bidi w:val="0"/>
        <w:adjustRightInd/>
        <w:snapToGrid/>
        <w:spacing w:line="570" w:lineRule="exact"/>
        <w:ind w:firstLine="628" w:firstLineChars="200"/>
        <w:jc w:val="both"/>
        <w:textAlignment w:val="auto"/>
        <w:rPr>
          <w:rFonts w:hint="eastAsia" w:ascii="黑体" w:hAnsi="黑体" w:eastAsia="黑体" w:cs="黑体"/>
          <w:b/>
          <w:bCs/>
          <w:color w:val="auto"/>
          <w:sz w:val="32"/>
          <w:szCs w:val="32"/>
          <w:lang w:eastAsia="zh-CN"/>
        </w:rPr>
      </w:pPr>
      <w:r>
        <w:rPr>
          <w:rFonts w:hint="eastAsia" w:ascii="黑体" w:hAnsi="黑体" w:eastAsia="黑体" w:cs="黑体"/>
          <w:b w:val="0"/>
          <w:bCs/>
          <w:szCs w:val="32"/>
          <w:lang w:eastAsia="zh-CN"/>
        </w:rPr>
        <w:t>四、绩效评价分析</w:t>
      </w:r>
    </w:p>
    <w:p>
      <w:pPr>
        <w:keepNext w:val="0"/>
        <w:keepLines w:val="0"/>
        <w:pageBreakBefore w:val="0"/>
        <w:kinsoku/>
        <w:wordWrap/>
        <w:overflowPunct/>
        <w:topLinePunct w:val="0"/>
        <w:autoSpaceDE/>
        <w:autoSpaceDN/>
        <w:bidi w:val="0"/>
        <w:spacing w:line="560" w:lineRule="exact"/>
        <w:ind w:left="0" w:firstLine="628" w:firstLineChars="200"/>
        <w:rPr>
          <w:rFonts w:hint="default" w:ascii="Times New Roman" w:hAnsi="Times New Roman" w:eastAsia="方正楷体_GBK" w:cs="Times New Roman"/>
          <w:b/>
          <w:bCs/>
          <w:color w:val="auto"/>
          <w:sz w:val="32"/>
          <w:szCs w:val="32"/>
          <w:lang w:val="en-US" w:eastAsia="zh-CN"/>
        </w:rPr>
      </w:pPr>
      <w:r>
        <w:rPr>
          <w:rFonts w:hint="eastAsia" w:eastAsia="方正楷体_GBK" w:cs="Times New Roman"/>
          <w:b/>
          <w:bCs/>
          <w:color w:val="auto"/>
          <w:sz w:val="32"/>
          <w:szCs w:val="32"/>
          <w:u w:val="none"/>
          <w:lang w:val="en-US" w:eastAsia="zh-CN"/>
        </w:rPr>
        <w:t>（一）</w:t>
      </w:r>
      <w:r>
        <w:rPr>
          <w:rFonts w:hint="default" w:ascii="Times New Roman" w:hAnsi="Times New Roman" w:eastAsia="方正楷体_GBK" w:cs="Times New Roman"/>
          <w:b/>
          <w:bCs/>
          <w:color w:val="auto"/>
          <w:sz w:val="32"/>
          <w:szCs w:val="32"/>
          <w:lang w:eastAsia="zh-CN"/>
        </w:rPr>
        <w:t>提高舆情应对能力</w:t>
      </w:r>
      <w:r>
        <w:rPr>
          <w:rFonts w:hint="default" w:ascii="Times New Roman" w:hAnsi="Times New Roman" w:eastAsia="方正楷体_GBK" w:cs="Times New Roman"/>
          <w:b/>
          <w:bCs/>
          <w:color w:val="auto"/>
          <w:sz w:val="32"/>
          <w:szCs w:val="32"/>
        </w:rPr>
        <w:t>，</w:t>
      </w:r>
      <w:r>
        <w:rPr>
          <w:rFonts w:hint="default" w:ascii="Times New Roman" w:hAnsi="Times New Roman" w:eastAsia="方正楷体_GBK" w:cs="Times New Roman"/>
          <w:b/>
          <w:bCs/>
          <w:color w:val="auto"/>
          <w:sz w:val="32"/>
          <w:szCs w:val="32"/>
          <w:lang w:eastAsia="zh-CN"/>
        </w:rPr>
        <w:t>加强为民服务水平</w:t>
      </w:r>
    </w:p>
    <w:p>
      <w:pPr>
        <w:keepNext w:val="0"/>
        <w:keepLines w:val="0"/>
        <w:pageBreakBefore w:val="0"/>
        <w:kinsoku/>
        <w:wordWrap/>
        <w:overflowPunct/>
        <w:topLinePunct w:val="0"/>
        <w:autoSpaceDE/>
        <w:autoSpaceDN/>
        <w:bidi w:val="0"/>
        <w:spacing w:line="560" w:lineRule="exact"/>
        <w:ind w:left="0" w:firstLine="628" w:firstLineChars="200"/>
        <w:rPr>
          <w:rFonts w:hint="default" w:ascii="Times New Roman" w:hAnsi="Times New Roman" w:eastAsia="仿宋_GB2312" w:cs="Times New Roman"/>
          <w:color w:val="auto"/>
          <w:kern w:val="0"/>
          <w:sz w:val="32"/>
          <w:szCs w:val="32"/>
          <w:lang w:val="en-US" w:eastAsia="zh-CN" w:bidi="ar-SA"/>
        </w:rPr>
      </w:pPr>
      <w:r>
        <w:rPr>
          <w:rFonts w:hint="default" w:ascii="仿宋_GB2312" w:hAnsi="仿宋"/>
          <w:szCs w:val="32"/>
          <w:lang w:val="en-US" w:eastAsia="zh-CN"/>
        </w:rPr>
        <w:t>2021年6月至2022年5月</w:t>
      </w:r>
      <w:r>
        <w:rPr>
          <w:rFonts w:hint="eastAsia" w:ascii="仿宋_GB2312" w:hAnsi="仿宋"/>
          <w:szCs w:val="32"/>
          <w:lang w:val="en-US" w:eastAsia="zh-CN"/>
        </w:rPr>
        <w:t>共</w:t>
      </w:r>
      <w:r>
        <w:rPr>
          <w:rFonts w:hint="default" w:ascii="仿宋_GB2312" w:hAnsi="仿宋"/>
          <w:szCs w:val="32"/>
          <w:lang w:val="en-US" w:eastAsia="zh-CN"/>
        </w:rPr>
        <w:t>整理汇总舆情6700件，</w:t>
      </w:r>
      <w:r>
        <w:rPr>
          <w:rFonts w:hint="eastAsia" w:ascii="仿宋_GB2312" w:hAnsi="仿宋"/>
          <w:szCs w:val="32"/>
          <w:lang w:val="en-US" w:eastAsia="zh-CN"/>
        </w:rPr>
        <w:t>收集</w:t>
      </w:r>
      <w:r>
        <w:rPr>
          <w:rFonts w:hint="default" w:ascii="仿宋_GB2312" w:hAnsi="仿宋"/>
          <w:szCs w:val="32"/>
          <w:lang w:val="en-US" w:eastAsia="zh-CN"/>
        </w:rPr>
        <w:t>民情信息9800件，分析案例87696件</w:t>
      </w:r>
      <w:r>
        <w:rPr>
          <w:rFonts w:hint="eastAsia" w:ascii="仿宋_GB2312" w:hAnsi="仿宋"/>
          <w:szCs w:val="32"/>
          <w:lang w:val="en-US" w:eastAsia="zh-CN"/>
        </w:rPr>
        <w:t>。</w:t>
      </w:r>
      <w:r>
        <w:rPr>
          <w:rFonts w:hint="default" w:ascii="仿宋_GB2312" w:hAnsi="仿宋"/>
          <w:szCs w:val="32"/>
          <w:lang w:val="en-US" w:eastAsia="zh-CN"/>
        </w:rPr>
        <w:t>定期汇集热点难点问题上报市委市政府，</w:t>
      </w:r>
      <w:r>
        <w:rPr>
          <w:rFonts w:hint="eastAsia" w:ascii="仿宋_GB2312" w:hAnsi="仿宋"/>
          <w:szCs w:val="32"/>
          <w:lang w:val="en-US" w:eastAsia="zh-CN"/>
        </w:rPr>
        <w:t>共起草</w:t>
      </w:r>
      <w:r>
        <w:rPr>
          <w:rFonts w:hint="default" w:ascii="仿宋_GB2312" w:hAnsi="仿宋"/>
          <w:szCs w:val="32"/>
          <w:lang w:val="en-US" w:eastAsia="zh-CN"/>
        </w:rPr>
        <w:t>疫情、企业复产复工、道路施工等15期专报提交市政府办；通过一系列的民情民意收集，大大提高了呼叫中心的信息舆情敏锐度，例如4月休宁县疫情防控、城区道路施工突发事件问题，中心第一时间采取措施，告知相关部门舆情发展情况，无一件舆情投诉案件升级</w:t>
      </w:r>
      <w:r>
        <w:rPr>
          <w:rFonts w:hint="default" w:ascii="Times New Roman" w:hAnsi="Times New Roman" w:cs="Times New Roman"/>
          <w:color w:val="auto"/>
          <w:szCs w:val="32"/>
          <w:lang w:val="en-US" w:eastAsia="zh-CN"/>
        </w:rPr>
        <w:t>。</w:t>
      </w:r>
    </w:p>
    <w:p>
      <w:pPr>
        <w:keepNext w:val="0"/>
        <w:keepLines w:val="0"/>
        <w:pageBreakBefore w:val="0"/>
        <w:kinsoku/>
        <w:wordWrap/>
        <w:overflowPunct/>
        <w:topLinePunct w:val="0"/>
        <w:autoSpaceDE/>
        <w:autoSpaceDN/>
        <w:bidi w:val="0"/>
        <w:spacing w:line="560" w:lineRule="exact"/>
        <w:ind w:left="0" w:firstLine="628" w:firstLineChars="200"/>
        <w:rPr>
          <w:rFonts w:hint="default" w:ascii="Times New Roman" w:hAnsi="Times New Roman" w:eastAsia="方正楷体_GBK" w:cs="Times New Roman"/>
          <w:b/>
          <w:bCs/>
          <w:color w:val="auto"/>
          <w:sz w:val="32"/>
          <w:szCs w:val="32"/>
          <w:u w:val="none"/>
        </w:rPr>
      </w:pPr>
      <w:r>
        <w:rPr>
          <w:rFonts w:hint="eastAsia" w:eastAsia="方正楷体_GBK" w:cs="Times New Roman"/>
          <w:b/>
          <w:bCs/>
          <w:color w:val="auto"/>
          <w:sz w:val="32"/>
          <w:szCs w:val="32"/>
          <w:u w:val="none"/>
          <w:lang w:eastAsia="zh-CN"/>
        </w:rPr>
        <w:t>（二）</w:t>
      </w:r>
      <w:r>
        <w:rPr>
          <w:rFonts w:hint="default" w:ascii="Times New Roman" w:hAnsi="Times New Roman" w:eastAsia="方正楷体_GBK" w:cs="Times New Roman"/>
          <w:b/>
          <w:bCs/>
          <w:color w:val="auto"/>
          <w:sz w:val="32"/>
          <w:szCs w:val="32"/>
          <w:u w:val="none"/>
        </w:rPr>
        <w:t>专线平稳，运行有序</w:t>
      </w:r>
    </w:p>
    <w:p>
      <w:pPr>
        <w:keepNext w:val="0"/>
        <w:keepLines w:val="0"/>
        <w:pageBreakBefore w:val="0"/>
        <w:kinsoku/>
        <w:wordWrap/>
        <w:overflowPunct/>
        <w:topLinePunct w:val="0"/>
        <w:autoSpaceDE/>
        <w:autoSpaceDN/>
        <w:bidi w:val="0"/>
        <w:spacing w:line="560" w:lineRule="exact"/>
        <w:ind w:left="0" w:firstLine="628" w:firstLineChars="200"/>
        <w:rPr>
          <w:rFonts w:hint="default" w:ascii="仿宋_GB2312" w:hAnsi="仿宋"/>
          <w:szCs w:val="32"/>
          <w:lang w:val="en-US" w:eastAsia="zh-CN"/>
        </w:rPr>
      </w:pPr>
      <w:r>
        <w:rPr>
          <w:rFonts w:hint="default" w:ascii="仿宋_GB2312" w:hAnsi="仿宋"/>
          <w:szCs w:val="32"/>
          <w:lang w:val="en-US" w:eastAsia="zh-CN"/>
        </w:rPr>
        <w:t>截至目前，我市已完成96119、12369等32条热线归并工作，并在全省率先将政府网站、政务服务网、政务新媒体等16条网络渠道统一整合。提前完成与110、119、120、122、供电、供水、供气等热线签订联动机制协议，并增额完成与气象局签订联动机制协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28" w:firstLineChars="200"/>
        <w:textAlignment w:val="baseline"/>
        <w:outlineLvl w:val="1"/>
        <w:rPr>
          <w:rFonts w:hint="default" w:ascii="Times New Roman" w:hAnsi="Times New Roman" w:eastAsia="方正楷体_GBK" w:cs="Times New Roman"/>
          <w:b/>
          <w:bCs/>
          <w:color w:val="auto"/>
          <w:sz w:val="32"/>
          <w:szCs w:val="32"/>
        </w:rPr>
      </w:pPr>
      <w:r>
        <w:rPr>
          <w:rFonts w:hint="eastAsia" w:eastAsia="方正楷体_GBK" w:cs="Times New Roman"/>
          <w:b/>
          <w:bCs/>
          <w:color w:val="auto"/>
          <w:sz w:val="32"/>
          <w:szCs w:val="32"/>
          <w:u w:val="none"/>
          <w:lang w:val="en-US" w:eastAsia="zh-CN"/>
        </w:rPr>
        <w:t>（三）</w:t>
      </w:r>
      <w:r>
        <w:rPr>
          <w:rFonts w:hint="default" w:ascii="Times New Roman" w:hAnsi="Times New Roman" w:eastAsia="方正楷体_GBK" w:cs="Times New Roman"/>
          <w:b/>
          <w:bCs/>
          <w:color w:val="auto"/>
          <w:sz w:val="32"/>
          <w:szCs w:val="32"/>
          <w:u w:val="none"/>
        </w:rPr>
        <w:t>奋发作为，荣誉</w:t>
      </w:r>
      <w:r>
        <w:rPr>
          <w:rFonts w:hint="eastAsia" w:eastAsia="方正楷体_GBK" w:cs="Times New Roman"/>
          <w:b/>
          <w:bCs/>
          <w:color w:val="auto"/>
          <w:sz w:val="32"/>
          <w:szCs w:val="32"/>
          <w:u w:val="none"/>
          <w:lang w:eastAsia="zh-CN"/>
        </w:rPr>
        <w:t>卓胡</w:t>
      </w:r>
      <w:r>
        <w:rPr>
          <w:rFonts w:hint="default" w:ascii="Times New Roman" w:hAnsi="Times New Roman" w:eastAsia="方正楷体_GBK" w:cs="Times New Roman"/>
          <w:b/>
          <w:bCs/>
          <w:color w:val="auto"/>
          <w:sz w:val="32"/>
          <w:szCs w:val="32"/>
          <w:u w:val="none"/>
        </w:rPr>
        <w:t>成效</w:t>
      </w:r>
    </w:p>
    <w:p>
      <w:pPr>
        <w:keepNext w:val="0"/>
        <w:keepLines w:val="0"/>
        <w:pageBreakBefore w:val="0"/>
        <w:kinsoku/>
        <w:wordWrap/>
        <w:overflowPunct/>
        <w:topLinePunct w:val="0"/>
        <w:autoSpaceDE/>
        <w:autoSpaceDN/>
        <w:bidi w:val="0"/>
        <w:spacing w:line="560" w:lineRule="exact"/>
        <w:ind w:left="0" w:firstLine="628" w:firstLineChars="200"/>
        <w:rPr>
          <w:rFonts w:hint="default" w:ascii="仿宋_GB2312" w:hAnsi="仿宋"/>
          <w:szCs w:val="32"/>
          <w:lang w:val="en-US" w:eastAsia="zh-CN"/>
        </w:rPr>
      </w:pPr>
      <w:r>
        <w:rPr>
          <w:rFonts w:hint="default" w:ascii="仿宋_GB2312" w:hAnsi="仿宋"/>
          <w:szCs w:val="32"/>
          <w:lang w:val="en-US" w:eastAsia="zh-CN"/>
        </w:rPr>
        <w:t>呼叫中心立足岗位特点，以服务群众为核心，爱岗敬业，出色完成了各项任务，赢得了群众的交口称赞。共收获市民锦旗3面，公文平台致谢函2封，</w:t>
      </w:r>
      <w:r>
        <w:rPr>
          <w:rFonts w:hint="eastAsia" w:ascii="仿宋_GB2312" w:hAnsi="仿宋"/>
          <w:szCs w:val="32"/>
          <w:lang w:val="en-US" w:eastAsia="zh-CN"/>
        </w:rPr>
        <w:t>收</w:t>
      </w:r>
      <w:r>
        <w:rPr>
          <w:rFonts w:hint="default" w:ascii="仿宋_GB2312" w:hAnsi="仿宋"/>
          <w:szCs w:val="32"/>
          <w:lang w:val="en-US" w:eastAsia="zh-CN"/>
        </w:rPr>
        <w:t>到群众感谢153件，同时中心荣获2021年度全国政务热线“优秀支撑保障成果案例”、获市交通运输局点赞并授予中心两名员工“优秀话务员”荣誉称号。</w:t>
      </w:r>
    </w:p>
    <w:p>
      <w:pPr>
        <w:keepNext w:val="0"/>
        <w:keepLines w:val="0"/>
        <w:pageBreakBefore w:val="0"/>
        <w:widowControl/>
        <w:numPr>
          <w:ilvl w:val="0"/>
          <w:numId w:val="0"/>
        </w:numPr>
        <w:kinsoku/>
        <w:wordWrap/>
        <w:overflowPunct/>
        <w:topLinePunct w:val="0"/>
        <w:autoSpaceDE/>
        <w:autoSpaceDN/>
        <w:bidi w:val="0"/>
        <w:spacing w:line="560" w:lineRule="exact"/>
        <w:ind w:left="0" w:firstLine="628" w:firstLineChars="200"/>
        <w:textAlignment w:val="baseline"/>
        <w:outlineLvl w:val="1"/>
        <w:rPr>
          <w:rFonts w:hint="default" w:ascii="Times New Roman" w:hAnsi="Times New Roman" w:eastAsia="方正楷体_GBK" w:cs="Times New Roman"/>
          <w:b/>
          <w:bCs/>
          <w:color w:val="auto"/>
          <w:sz w:val="32"/>
          <w:szCs w:val="32"/>
          <w:u w:val="none"/>
          <w:lang w:val="en-US" w:eastAsia="zh-CN"/>
        </w:rPr>
      </w:pPr>
      <w:r>
        <w:rPr>
          <w:rFonts w:hint="eastAsia" w:eastAsia="方正楷体_GBK" w:cs="Times New Roman"/>
          <w:b/>
          <w:bCs/>
          <w:color w:val="auto"/>
          <w:sz w:val="32"/>
          <w:szCs w:val="32"/>
          <w:u w:val="none"/>
          <w:lang w:val="en-US" w:eastAsia="zh-CN"/>
        </w:rPr>
        <w:t>（四）</w:t>
      </w:r>
      <w:r>
        <w:rPr>
          <w:rFonts w:hint="default" w:ascii="Times New Roman" w:hAnsi="Times New Roman" w:eastAsia="方正楷体_GBK" w:cs="Times New Roman"/>
          <w:b/>
          <w:bCs/>
          <w:color w:val="auto"/>
          <w:sz w:val="32"/>
          <w:szCs w:val="32"/>
          <w:u w:val="none"/>
          <w:lang w:val="en-US" w:eastAsia="zh-CN"/>
        </w:rPr>
        <w:t>提高热线精细化水平，</w:t>
      </w:r>
      <w:r>
        <w:rPr>
          <w:rFonts w:hint="default" w:ascii="Times New Roman" w:hAnsi="Times New Roman" w:eastAsia="方正楷体_GBK" w:cs="Times New Roman"/>
          <w:b/>
          <w:bCs/>
          <w:color w:val="auto"/>
          <w:sz w:val="32"/>
          <w:szCs w:val="32"/>
          <w:u w:val="none"/>
        </w:rPr>
        <w:t>构建政务热线新格局</w:t>
      </w:r>
    </w:p>
    <w:p>
      <w:pPr>
        <w:keepNext w:val="0"/>
        <w:keepLines w:val="0"/>
        <w:pageBreakBefore w:val="0"/>
        <w:kinsoku/>
        <w:wordWrap/>
        <w:overflowPunct/>
        <w:topLinePunct w:val="0"/>
        <w:autoSpaceDE/>
        <w:autoSpaceDN/>
        <w:bidi w:val="0"/>
        <w:adjustRightInd w:val="0"/>
        <w:snapToGrid w:val="0"/>
        <w:spacing w:line="560" w:lineRule="exact"/>
        <w:ind w:left="0" w:firstLine="628" w:firstLineChars="200"/>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为</w:t>
      </w:r>
      <w:r>
        <w:rPr>
          <w:rFonts w:hint="default" w:ascii="仿宋_GB2312" w:hAnsi="仿宋"/>
          <w:szCs w:val="32"/>
          <w:lang w:val="en-US" w:eastAsia="zh-CN"/>
        </w:rPr>
        <w:t>深入践行以人民为中心的理念，市委市政府领导积极参加12345热线开展的“接热线、办实事”活动及领导接听日活动，现场接听群众来电，批办疑难工单，有效解决了一批群众诉求和工作疑难问题。截至目前，共接听市民诉求270件，接听活动工单能直接答复的当场给予答复，需进一步核实的均及时转办，按期办结率100%，满意率99.12%。</w:t>
      </w:r>
    </w:p>
    <w:p>
      <w:pPr>
        <w:keepNext w:val="0"/>
        <w:keepLines w:val="0"/>
        <w:pageBreakBefore w:val="0"/>
        <w:widowControl w:val="0"/>
        <w:kinsoku/>
        <w:wordWrap/>
        <w:overflowPunct/>
        <w:topLinePunct w:val="0"/>
        <w:autoSpaceDE/>
        <w:autoSpaceDN/>
        <w:bidi w:val="0"/>
        <w:adjustRightInd/>
        <w:snapToGrid/>
        <w:spacing w:line="560" w:lineRule="exact"/>
        <w:ind w:left="0" w:firstLine="628" w:firstLineChars="200"/>
        <w:jc w:val="left"/>
        <w:textAlignment w:val="auto"/>
        <w:rPr>
          <w:rFonts w:hint="default" w:ascii="Times New Roman" w:hAnsi="Times New Roman" w:eastAsia="方正仿宋_GBK" w:cs="Times New Roman"/>
          <w:color w:val="auto"/>
          <w:sz w:val="32"/>
          <w:szCs w:val="32"/>
          <w:shd w:val="clear" w:color="auto" w:fill="FFFFFF"/>
        </w:rPr>
      </w:pPr>
      <w:r>
        <w:rPr>
          <w:rFonts w:hint="eastAsia" w:eastAsia="方正楷体_GBK" w:cs="Times New Roman"/>
          <w:b/>
          <w:bCs/>
          <w:color w:val="auto"/>
          <w:sz w:val="32"/>
          <w:szCs w:val="32"/>
          <w:u w:val="none"/>
          <w:lang w:val="en-US" w:eastAsia="zh-CN"/>
        </w:rPr>
        <w:t>（五）</w:t>
      </w:r>
      <w:r>
        <w:rPr>
          <w:rFonts w:hint="default" w:ascii="Times New Roman" w:hAnsi="Times New Roman" w:eastAsia="方正楷体_GBK" w:cs="Times New Roman"/>
          <w:b/>
          <w:color w:val="auto"/>
          <w:sz w:val="32"/>
          <w:szCs w:val="32"/>
          <w:shd w:val="clear" w:color="auto" w:fill="FFFFFF"/>
        </w:rPr>
        <w:t>抓工作创新，提高服务水平</w:t>
      </w:r>
    </w:p>
    <w:p>
      <w:pPr>
        <w:keepNext w:val="0"/>
        <w:keepLines w:val="0"/>
        <w:pageBreakBefore w:val="0"/>
        <w:kinsoku/>
        <w:wordWrap/>
        <w:overflowPunct/>
        <w:topLinePunct w:val="0"/>
        <w:autoSpaceDE/>
        <w:autoSpaceDN/>
        <w:bidi w:val="0"/>
        <w:spacing w:line="560" w:lineRule="exact"/>
        <w:ind w:left="0" w:firstLine="628" w:firstLineChars="200"/>
        <w:rPr>
          <w:rFonts w:hint="default" w:ascii="仿宋_GB2312" w:hAnsi="仿宋"/>
          <w:szCs w:val="32"/>
          <w:lang w:val="en-US" w:eastAsia="zh-CN"/>
        </w:rPr>
      </w:pPr>
      <w:r>
        <w:rPr>
          <w:rFonts w:hint="default" w:ascii="仿宋_GB2312" w:hAnsi="仿宋"/>
          <w:szCs w:val="32"/>
          <w:lang w:val="en-US" w:eastAsia="zh-CN"/>
        </w:rPr>
        <w:t>建立不满意工单、重复办理工单协调解决机制，坚持以解决问题为导向，多方联动，集众意，促民生；定期全面评估近期呼叫中心运作情况，督办每周回复工单进行汇总分类，就不满意工单、二次办理件、疑难案件做到逐级上报、重点攻克；针对安置三区回迁、拆迁遗留等重难点问题，及时上会研讨，同时做好政策解释，撰写情况说明，避免矛盾激化</w:t>
      </w:r>
      <w:r>
        <w:rPr>
          <w:rFonts w:hint="eastAsia" w:ascii="仿宋_GB2312" w:hAnsi="仿宋"/>
          <w:szCs w:val="32"/>
          <w:lang w:val="en-US" w:eastAsia="zh-CN"/>
        </w:rPr>
        <w:t>、出现</w:t>
      </w:r>
      <w:r>
        <w:rPr>
          <w:rFonts w:hint="default" w:ascii="仿宋_GB2312" w:hAnsi="仿宋"/>
          <w:szCs w:val="32"/>
          <w:lang w:val="en-US" w:eastAsia="zh-CN"/>
        </w:rPr>
        <w:t>群体上访事件。</w:t>
      </w:r>
    </w:p>
    <w:p>
      <w:pPr>
        <w:keepNext w:val="0"/>
        <w:keepLines w:val="0"/>
        <w:pageBreakBefore w:val="0"/>
        <w:widowControl w:val="0"/>
        <w:kinsoku/>
        <w:wordWrap/>
        <w:overflowPunct/>
        <w:topLinePunct w:val="0"/>
        <w:autoSpaceDE/>
        <w:autoSpaceDN/>
        <w:bidi w:val="0"/>
        <w:adjustRightInd/>
        <w:snapToGrid/>
        <w:spacing w:line="560" w:lineRule="exact"/>
        <w:ind w:left="0" w:firstLine="628" w:firstLineChars="200"/>
        <w:jc w:val="left"/>
        <w:textAlignment w:val="auto"/>
        <w:rPr>
          <w:rFonts w:hint="default" w:ascii="Times New Roman" w:hAnsi="Times New Roman" w:eastAsia="方正楷体_GBK" w:cs="Times New Roman"/>
          <w:b/>
          <w:bCs/>
          <w:color w:val="auto"/>
          <w:sz w:val="32"/>
          <w:szCs w:val="32"/>
          <w:u w:val="none"/>
          <w:lang w:val="en-US" w:eastAsia="zh-CN"/>
        </w:rPr>
      </w:pPr>
      <w:r>
        <w:rPr>
          <w:rFonts w:hint="eastAsia" w:eastAsia="方正楷体_GBK" w:cs="Times New Roman"/>
          <w:b/>
          <w:bCs/>
          <w:color w:val="auto"/>
          <w:sz w:val="32"/>
          <w:szCs w:val="32"/>
          <w:u w:val="none"/>
          <w:lang w:val="en-US" w:eastAsia="zh-CN"/>
        </w:rPr>
        <w:t>（六）</w:t>
      </w:r>
      <w:r>
        <w:rPr>
          <w:rFonts w:hint="default" w:ascii="Times New Roman" w:hAnsi="Times New Roman" w:eastAsia="方正楷体_GBK" w:cs="Times New Roman"/>
          <w:b/>
          <w:bCs/>
          <w:color w:val="auto"/>
          <w:sz w:val="32"/>
          <w:szCs w:val="32"/>
          <w:u w:val="none"/>
          <w:lang w:val="en-US" w:eastAsia="zh-CN"/>
        </w:rPr>
        <w:t>突出特色，亮点纷呈</w:t>
      </w:r>
    </w:p>
    <w:p>
      <w:pPr>
        <w:keepNext w:val="0"/>
        <w:keepLines w:val="0"/>
        <w:pageBreakBefore w:val="0"/>
        <w:kinsoku/>
        <w:wordWrap/>
        <w:overflowPunct/>
        <w:topLinePunct w:val="0"/>
        <w:autoSpaceDE/>
        <w:autoSpaceDN/>
        <w:bidi w:val="0"/>
        <w:spacing w:line="560" w:lineRule="exact"/>
        <w:ind w:left="0" w:firstLine="628" w:firstLineChars="200"/>
        <w:rPr>
          <w:rFonts w:hint="default" w:ascii="仿宋_GB2312" w:hAnsi="仿宋"/>
          <w:szCs w:val="32"/>
          <w:lang w:val="en-US" w:eastAsia="zh-CN"/>
        </w:rPr>
      </w:pPr>
      <w:r>
        <w:rPr>
          <w:rFonts w:hint="default" w:ascii="仿宋_GB2312" w:hAnsi="仿宋"/>
          <w:szCs w:val="32"/>
          <w:lang w:val="en-US" w:eastAsia="zh-CN"/>
        </w:rPr>
        <w:t>以传承红色精神、为民办实事等创建活动为契机，通过户外宣传、公益活动、专题培训和知识竞赛等方式展开丰富多彩的活动，突出中心特色。2021年共计开展各项活动25次，通过线下宣传、线上小课堂等多种形式与群众开展暖心互动，扩大了呼叫中心宣传面的同时，走进群众，方便群众，全年共受理群众建议3332件。</w:t>
      </w:r>
    </w:p>
    <w:p>
      <w:pPr>
        <w:keepNext w:val="0"/>
        <w:keepLines w:val="0"/>
        <w:pageBreakBefore w:val="0"/>
        <w:numPr>
          <w:ilvl w:val="0"/>
          <w:numId w:val="0"/>
        </w:numPr>
        <w:kinsoku/>
        <w:wordWrap/>
        <w:overflowPunct/>
        <w:topLinePunct w:val="0"/>
        <w:autoSpaceDE/>
        <w:autoSpaceDN/>
        <w:bidi w:val="0"/>
        <w:spacing w:line="560" w:lineRule="exact"/>
        <w:ind w:left="0" w:firstLine="628" w:firstLineChars="200"/>
        <w:rPr>
          <w:rFonts w:hint="default" w:ascii="Times New Roman" w:hAnsi="Times New Roman" w:eastAsia="方正楷体_GBK" w:cs="Times New Roman"/>
          <w:b/>
          <w:bCs/>
          <w:color w:val="auto"/>
          <w:sz w:val="32"/>
          <w:szCs w:val="32"/>
          <w:lang w:eastAsia="zh-CN"/>
        </w:rPr>
      </w:pPr>
      <w:r>
        <w:rPr>
          <w:rFonts w:hint="eastAsia" w:eastAsia="方正楷体_GBK" w:cs="Times New Roman"/>
          <w:b/>
          <w:bCs/>
          <w:color w:val="auto"/>
          <w:sz w:val="32"/>
          <w:szCs w:val="32"/>
          <w:lang w:val="en-US" w:eastAsia="zh-CN"/>
        </w:rPr>
        <w:t>（七）</w:t>
      </w:r>
      <w:r>
        <w:rPr>
          <w:rFonts w:hint="default" w:ascii="Times New Roman" w:hAnsi="Times New Roman" w:eastAsia="方正楷体_GBK" w:cs="Times New Roman"/>
          <w:b/>
          <w:bCs/>
          <w:color w:val="auto"/>
          <w:sz w:val="32"/>
          <w:szCs w:val="32"/>
        </w:rPr>
        <w:t>党建、团建成效</w:t>
      </w:r>
      <w:r>
        <w:rPr>
          <w:rFonts w:hint="default" w:ascii="Times New Roman" w:hAnsi="Times New Roman" w:eastAsia="方正楷体_GBK" w:cs="Times New Roman"/>
          <w:b/>
          <w:bCs/>
          <w:color w:val="auto"/>
          <w:sz w:val="32"/>
          <w:szCs w:val="32"/>
          <w:lang w:eastAsia="zh-CN"/>
        </w:rPr>
        <w:t>突出</w:t>
      </w:r>
    </w:p>
    <w:p>
      <w:pPr>
        <w:keepNext w:val="0"/>
        <w:keepLines w:val="0"/>
        <w:pageBreakBefore w:val="0"/>
        <w:kinsoku/>
        <w:wordWrap/>
        <w:overflowPunct/>
        <w:topLinePunct w:val="0"/>
        <w:autoSpaceDE/>
        <w:autoSpaceDN/>
        <w:bidi w:val="0"/>
        <w:spacing w:line="560" w:lineRule="exact"/>
        <w:ind w:left="0" w:firstLine="628" w:firstLineChars="200"/>
        <w:rPr>
          <w:rFonts w:hint="default" w:ascii="仿宋_GB2312" w:hAnsi="仿宋"/>
          <w:szCs w:val="32"/>
          <w:lang w:val="en-US" w:eastAsia="zh-CN"/>
        </w:rPr>
      </w:pPr>
      <w:r>
        <w:rPr>
          <w:rFonts w:hint="default" w:ascii="仿宋_GB2312" w:hAnsi="仿宋"/>
          <w:szCs w:val="32"/>
          <w:lang w:val="en-US" w:eastAsia="zh-CN"/>
        </w:rPr>
        <w:t>2021年6月以来中心党建、团建活动开展12次，1名员工荣获“屯溪区优秀共产党员”称号，新增正式党员1名，预备党员1名，积极分子3名，联合市气象局、市消防救援支队等部门进行党建活动，将中心党建工作做大做强。团建工作与团市委紧密联系，获得团市委的高度肯定，其中1名员工荣获“第二届新时代百名好青年—拼搏创新好青年”提名奖，1名员工获评“全国优秀团干部”荣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textAlignment w:val="auto"/>
        <w:rPr>
          <w:rFonts w:hint="default" w:ascii="Times New Roman" w:hAnsi="Times New Roman" w:eastAsia="方正楷体_GBK" w:cs="Times New Roman"/>
          <w:b/>
          <w:bCs/>
          <w:color w:val="auto"/>
          <w:sz w:val="32"/>
          <w:szCs w:val="32"/>
          <w:u w:val="none"/>
        </w:rPr>
      </w:pPr>
      <w:r>
        <w:rPr>
          <w:rFonts w:hint="eastAsia" w:eastAsia="方正楷体_GBK" w:cs="Times New Roman"/>
          <w:b/>
          <w:bCs/>
          <w:color w:val="auto"/>
          <w:sz w:val="32"/>
          <w:szCs w:val="32"/>
          <w:u w:val="none"/>
          <w:lang w:val="en-US" w:eastAsia="zh-CN"/>
        </w:rPr>
        <w:t>（八）</w:t>
      </w:r>
      <w:r>
        <w:rPr>
          <w:rFonts w:hint="default" w:ascii="Times New Roman" w:hAnsi="Times New Roman" w:eastAsia="方正楷体_GBK" w:cs="Times New Roman"/>
          <w:b/>
          <w:bCs/>
          <w:color w:val="auto"/>
          <w:sz w:val="32"/>
          <w:szCs w:val="32"/>
          <w:u w:val="none"/>
          <w:lang w:eastAsia="zh-CN"/>
        </w:rPr>
        <w:t>热</w:t>
      </w:r>
      <w:r>
        <w:rPr>
          <w:rFonts w:hint="default" w:ascii="Times New Roman" w:hAnsi="Times New Roman" w:eastAsia="方正楷体_GBK" w:cs="Times New Roman"/>
          <w:b/>
          <w:bCs/>
          <w:color w:val="auto"/>
          <w:sz w:val="32"/>
          <w:szCs w:val="32"/>
          <w:u w:val="none"/>
        </w:rPr>
        <w:t>心服务为群众，热线互动抗疫情</w:t>
      </w:r>
    </w:p>
    <w:p>
      <w:pPr>
        <w:keepNext w:val="0"/>
        <w:keepLines w:val="0"/>
        <w:pageBreakBefore w:val="0"/>
        <w:kinsoku/>
        <w:wordWrap/>
        <w:overflowPunct/>
        <w:topLinePunct w:val="0"/>
        <w:autoSpaceDE/>
        <w:autoSpaceDN/>
        <w:bidi w:val="0"/>
        <w:spacing w:line="560" w:lineRule="exact"/>
        <w:ind w:left="0" w:firstLine="628" w:firstLineChars="200"/>
        <w:rPr>
          <w:rFonts w:hint="default" w:ascii="仿宋_GB2312" w:hAnsi="仿宋"/>
          <w:szCs w:val="32"/>
          <w:lang w:val="en-US" w:eastAsia="zh-CN"/>
        </w:rPr>
      </w:pPr>
      <w:r>
        <w:rPr>
          <w:rFonts w:hint="default" w:ascii="Times New Roman" w:hAnsi="Times New Roman" w:cs="Times New Roman"/>
          <w:color w:val="auto"/>
          <w:szCs w:val="32"/>
          <w:lang w:val="en-US" w:eastAsia="zh-CN"/>
        </w:rPr>
        <w:t>截</w:t>
      </w:r>
      <w:r>
        <w:rPr>
          <w:rFonts w:hint="default" w:ascii="仿宋_GB2312" w:hAnsi="仿宋"/>
          <w:szCs w:val="32"/>
          <w:lang w:val="en-US" w:eastAsia="zh-CN"/>
        </w:rPr>
        <w:t>至</w:t>
      </w:r>
      <w:r>
        <w:rPr>
          <w:rFonts w:hint="eastAsia" w:ascii="仿宋_GB2312" w:hAnsi="仿宋"/>
          <w:szCs w:val="32"/>
          <w:lang w:val="en-US" w:eastAsia="zh-CN"/>
        </w:rPr>
        <w:t>2022</w:t>
      </w:r>
      <w:r>
        <w:rPr>
          <w:rFonts w:hint="default" w:ascii="仿宋_GB2312" w:hAnsi="仿宋"/>
          <w:szCs w:val="32"/>
          <w:lang w:val="en-US" w:eastAsia="zh-CN"/>
        </w:rPr>
        <w:t>年5月31日，呼叫中心共受理新冠肺炎疫情相关诉求19857件，通过网络转办2186件，直接答复17671件。涉及群众疫情来电一律进行特殊标记，对于群众提出的建议及反映的各类诉求，呼叫中心工作人员耐心细致</w:t>
      </w:r>
      <w:r>
        <w:rPr>
          <w:rFonts w:hint="eastAsia" w:ascii="仿宋_GB2312" w:hAnsi="仿宋"/>
          <w:szCs w:val="32"/>
          <w:lang w:val="en-US" w:eastAsia="zh-CN"/>
        </w:rPr>
        <w:t>地</w:t>
      </w:r>
      <w:r>
        <w:rPr>
          <w:rFonts w:hint="default" w:ascii="仿宋_GB2312" w:hAnsi="仿宋"/>
          <w:szCs w:val="32"/>
          <w:lang w:val="en-US" w:eastAsia="zh-CN"/>
        </w:rPr>
        <w:t>解答，并将受理诉求第一时间交办相关部门进行处理。加强与相关部门联系，及时更新疫情专项知识库，确保答复及时、专业、准确。针对疫情期间电话量持续增长情况，员工主动请缨，加班加点，竭力保障热线渠道畅通，全力以赴处置群众来电，所有的疫情防控诉求均得到有效处理。对群众反映的情况及时进行数据综合分析研判，积极撰写疫情专报，为政府决策和防疫工作提供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textAlignment w:val="auto"/>
        <w:rPr>
          <w:rFonts w:hint="default" w:ascii="Times New Roman" w:hAnsi="Times New Roman" w:eastAsia="黑体" w:cs="Times New Roman"/>
          <w:color w:val="auto"/>
          <w:sz w:val="32"/>
          <w:szCs w:val="24"/>
          <w:lang w:val="en-US" w:eastAsia="zh-CN"/>
        </w:rPr>
      </w:pPr>
      <w:r>
        <w:rPr>
          <w:rFonts w:hint="default" w:ascii="黑体" w:hAnsi="黑体" w:eastAsia="黑体" w:cs="黑体"/>
          <w:b w:val="0"/>
          <w:bCs/>
          <w:szCs w:val="32"/>
          <w:lang w:val="en-US" w:eastAsia="zh-CN"/>
        </w:rPr>
        <w:t>五、存在问题</w:t>
      </w:r>
    </w:p>
    <w:p>
      <w:pPr>
        <w:keepNext w:val="0"/>
        <w:keepLines w:val="0"/>
        <w:pageBreakBefore w:val="0"/>
        <w:kinsoku/>
        <w:wordWrap/>
        <w:overflowPunct/>
        <w:topLinePunct w:val="0"/>
        <w:autoSpaceDE/>
        <w:autoSpaceDN/>
        <w:bidi w:val="0"/>
        <w:spacing w:line="560" w:lineRule="exact"/>
        <w:ind w:left="0" w:firstLine="628" w:firstLineChars="200"/>
        <w:rPr>
          <w:rFonts w:hint="default" w:ascii="仿宋_GB2312" w:hAnsi="仿宋"/>
          <w:szCs w:val="32"/>
          <w:lang w:val="en-US" w:eastAsia="zh-CN"/>
        </w:rPr>
      </w:pPr>
      <w:r>
        <w:rPr>
          <w:rFonts w:hint="default" w:ascii="仿宋_GB2312" w:hAnsi="仿宋"/>
          <w:szCs w:val="32"/>
          <w:lang w:val="en-US" w:eastAsia="zh-CN"/>
        </w:rPr>
        <w:t>2021年呼叫中心取得了一定成绩，也存在一些问题和不足：一是舆情应对能力有待进一步提高；二是为民服务水平需进一步加强。</w:t>
      </w:r>
    </w:p>
    <w:p>
      <w:pPr>
        <w:keepNext w:val="0"/>
        <w:keepLines w:val="0"/>
        <w:pageBreakBefore w:val="0"/>
        <w:widowControl w:val="0"/>
        <w:kinsoku/>
        <w:wordWrap/>
        <w:overflowPunct/>
        <w:topLinePunct w:val="0"/>
        <w:autoSpaceDE/>
        <w:autoSpaceDN/>
        <w:bidi w:val="0"/>
        <w:adjustRightInd w:val="0"/>
        <w:snapToGrid w:val="0"/>
        <w:spacing w:line="600" w:lineRule="exact"/>
        <w:ind w:firstLine="628" w:firstLineChars="200"/>
        <w:textAlignment w:val="auto"/>
        <w:rPr>
          <w:rFonts w:hint="default" w:ascii="黑体" w:hAnsi="黑体" w:eastAsia="黑体" w:cs="黑体"/>
          <w:b w:val="0"/>
          <w:bCs/>
          <w:szCs w:val="32"/>
        </w:rPr>
      </w:pPr>
      <w:r>
        <w:rPr>
          <w:rFonts w:hint="default" w:ascii="黑体" w:hAnsi="黑体" w:eastAsia="黑体" w:cs="黑体"/>
          <w:b w:val="0"/>
          <w:bCs/>
          <w:szCs w:val="32"/>
          <w:lang w:eastAsia="zh-CN"/>
        </w:rPr>
        <w:t>六、</w:t>
      </w:r>
      <w:r>
        <w:rPr>
          <w:rFonts w:hint="default" w:ascii="黑体" w:hAnsi="黑体" w:eastAsia="黑体" w:cs="黑体"/>
          <w:b w:val="0"/>
          <w:bCs/>
          <w:szCs w:val="32"/>
        </w:rPr>
        <w:t>有关建议</w:t>
      </w:r>
    </w:p>
    <w:p>
      <w:pPr>
        <w:keepNext w:val="0"/>
        <w:keepLines w:val="0"/>
        <w:pageBreakBefore w:val="0"/>
        <w:kinsoku/>
        <w:wordWrap/>
        <w:overflowPunct/>
        <w:topLinePunct w:val="0"/>
        <w:autoSpaceDE/>
        <w:autoSpaceDN/>
        <w:bidi w:val="0"/>
        <w:spacing w:line="560" w:lineRule="exact"/>
        <w:ind w:left="0" w:firstLine="628" w:firstLineChars="200"/>
        <w:rPr>
          <w:rFonts w:hint="default" w:ascii="仿宋_GB2312" w:hAnsi="仿宋"/>
          <w:szCs w:val="32"/>
          <w:lang w:val="en-US" w:eastAsia="zh-CN"/>
        </w:rPr>
      </w:pPr>
      <w:r>
        <w:rPr>
          <w:rFonts w:hint="default" w:ascii="仿宋_GB2312" w:hAnsi="仿宋"/>
          <w:szCs w:val="32"/>
          <w:lang w:val="en-US" w:eastAsia="zh-CN"/>
        </w:rPr>
        <w:t>进一步转变工作作风，提高办事效率，常态化开展领导干部接听活动，做到有问必答、有求必应，针对群众反映的各类诉求举一反三，做好梳理分析，推动解决群众身边急难愁盼的一个问题向一类问题转变，进一步提升政府公共服务能力和水平，努力实现办件质效更高、督办能力更强、作用发挥更好。</w:t>
      </w:r>
    </w:p>
    <w:sectPr>
      <w:footerReference r:id="rId4" w:type="default"/>
      <w:pgSz w:w="11906" w:h="16838"/>
      <w:pgMar w:top="2154" w:right="1531" w:bottom="1587" w:left="1587" w:header="0" w:footer="1134" w:gutter="0"/>
      <w:pgBorders>
        <w:top w:val="none" w:sz="0" w:space="0"/>
        <w:left w:val="none" w:sz="0" w:space="0"/>
        <w:bottom w:val="none" w:sz="0" w:space="0"/>
        <w:right w:val="none" w:sz="0" w:space="0"/>
      </w:pgBorders>
      <w:pgNumType w:fmt="decimal" w:start="1"/>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Simsun">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rPr>
        <w:rFonts w:hint="eastAsia" w:ascii="仿宋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0"/>
                              <w:rFonts w:ascii="仿宋_GB2312"/>
                              <w:sz w:val="28"/>
                            </w:rPr>
                          </w:pPr>
                          <w:r>
                            <w:rPr>
                              <w:rStyle w:val="10"/>
                              <w:rFonts w:hint="eastAsia" w:ascii="仿宋_GB2312"/>
                              <w:sz w:val="28"/>
                            </w:rPr>
                            <w:t>-</w:t>
                          </w:r>
                          <w:r>
                            <w:rPr>
                              <w:rFonts w:hint="eastAsia" w:ascii="仿宋_GB2312"/>
                              <w:sz w:val="28"/>
                              <w:szCs w:val="28"/>
                            </w:rPr>
                            <w:fldChar w:fldCharType="begin"/>
                          </w:r>
                          <w:r>
                            <w:rPr>
                              <w:rStyle w:val="10"/>
                              <w:rFonts w:hint="eastAsia" w:ascii="仿宋_GB2312"/>
                              <w:sz w:val="28"/>
                              <w:szCs w:val="28"/>
                            </w:rPr>
                            <w:instrText xml:space="preserve"> PAGE </w:instrText>
                          </w:r>
                          <w:r>
                            <w:rPr>
                              <w:rFonts w:hint="eastAsia" w:ascii="仿宋_GB2312"/>
                              <w:sz w:val="28"/>
                              <w:szCs w:val="28"/>
                            </w:rPr>
                            <w:fldChar w:fldCharType="separate"/>
                          </w:r>
                          <w:r>
                            <w:rPr>
                              <w:rStyle w:val="10"/>
                              <w:rFonts w:ascii="仿宋_GB2312"/>
                              <w:sz w:val="28"/>
                              <w:szCs w:val="28"/>
                            </w:rPr>
                            <w:t>50</w:t>
                          </w:r>
                          <w:r>
                            <w:rPr>
                              <w:rFonts w:hint="eastAsia" w:ascii="仿宋_GB2312"/>
                              <w:sz w:val="28"/>
                              <w:szCs w:val="28"/>
                            </w:rPr>
                            <w:fldChar w:fldCharType="end"/>
                          </w:r>
                          <w:r>
                            <w:rPr>
                              <w:rStyle w:val="10"/>
                              <w:rFonts w:hint="eastAsia" w:ascii="仿宋_GB231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Style w:val="10"/>
                        <w:rFonts w:ascii="仿宋_GB2312"/>
                        <w:sz w:val="28"/>
                      </w:rPr>
                    </w:pPr>
                    <w:r>
                      <w:rPr>
                        <w:rStyle w:val="10"/>
                        <w:rFonts w:hint="eastAsia" w:ascii="仿宋_GB2312"/>
                        <w:sz w:val="28"/>
                      </w:rPr>
                      <w:t>-</w:t>
                    </w:r>
                    <w:r>
                      <w:rPr>
                        <w:rFonts w:hint="eastAsia" w:ascii="仿宋_GB2312"/>
                        <w:sz w:val="28"/>
                        <w:szCs w:val="28"/>
                      </w:rPr>
                      <w:fldChar w:fldCharType="begin"/>
                    </w:r>
                    <w:r>
                      <w:rPr>
                        <w:rStyle w:val="10"/>
                        <w:rFonts w:hint="eastAsia" w:ascii="仿宋_GB2312"/>
                        <w:sz w:val="28"/>
                        <w:szCs w:val="28"/>
                      </w:rPr>
                      <w:instrText xml:space="preserve"> PAGE </w:instrText>
                    </w:r>
                    <w:r>
                      <w:rPr>
                        <w:rFonts w:hint="eastAsia" w:ascii="仿宋_GB2312"/>
                        <w:sz w:val="28"/>
                        <w:szCs w:val="28"/>
                      </w:rPr>
                      <w:fldChar w:fldCharType="separate"/>
                    </w:r>
                    <w:r>
                      <w:rPr>
                        <w:rStyle w:val="10"/>
                        <w:rFonts w:ascii="仿宋_GB2312"/>
                        <w:sz w:val="28"/>
                        <w:szCs w:val="28"/>
                      </w:rPr>
                      <w:t>50</w:t>
                    </w:r>
                    <w:r>
                      <w:rPr>
                        <w:rFonts w:hint="eastAsia" w:ascii="仿宋_GB2312"/>
                        <w:sz w:val="28"/>
                        <w:szCs w:val="28"/>
                      </w:rPr>
                      <w:fldChar w:fldCharType="end"/>
                    </w:r>
                    <w:r>
                      <w:rPr>
                        <w:rStyle w:val="10"/>
                        <w:rFonts w:hint="eastAsia" w:ascii="仿宋_GB2312"/>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ZmViOGUxN2JlZGQxMDhkMDA0YzBlNjBmMjk3ODAifQ=="/>
  </w:docVars>
  <w:rsids>
    <w:rsidRoot w:val="00172A27"/>
    <w:rsid w:val="0045148D"/>
    <w:rsid w:val="00D47FCB"/>
    <w:rsid w:val="01082B70"/>
    <w:rsid w:val="023533B0"/>
    <w:rsid w:val="0271367C"/>
    <w:rsid w:val="039E67A0"/>
    <w:rsid w:val="095E7CD2"/>
    <w:rsid w:val="0E315F77"/>
    <w:rsid w:val="0E795C45"/>
    <w:rsid w:val="0F02199F"/>
    <w:rsid w:val="0F185E84"/>
    <w:rsid w:val="142142C2"/>
    <w:rsid w:val="1A000389"/>
    <w:rsid w:val="1A9A19B6"/>
    <w:rsid w:val="210D26FB"/>
    <w:rsid w:val="234B47F9"/>
    <w:rsid w:val="237F7DC9"/>
    <w:rsid w:val="24504F9C"/>
    <w:rsid w:val="267C0A8F"/>
    <w:rsid w:val="28AD161A"/>
    <w:rsid w:val="2A4940C3"/>
    <w:rsid w:val="2AAD1353"/>
    <w:rsid w:val="2B624AD9"/>
    <w:rsid w:val="2C640FD4"/>
    <w:rsid w:val="2E96672A"/>
    <w:rsid w:val="31C05824"/>
    <w:rsid w:val="325F576F"/>
    <w:rsid w:val="32704B98"/>
    <w:rsid w:val="34B6707B"/>
    <w:rsid w:val="35E24C51"/>
    <w:rsid w:val="36C94D40"/>
    <w:rsid w:val="37647A49"/>
    <w:rsid w:val="3AD04447"/>
    <w:rsid w:val="3B583CA1"/>
    <w:rsid w:val="3CEB23AA"/>
    <w:rsid w:val="3F77C30D"/>
    <w:rsid w:val="415D5AC8"/>
    <w:rsid w:val="4224278B"/>
    <w:rsid w:val="42515F2C"/>
    <w:rsid w:val="451C33D3"/>
    <w:rsid w:val="45B22959"/>
    <w:rsid w:val="492D450B"/>
    <w:rsid w:val="493536E6"/>
    <w:rsid w:val="4A9D0785"/>
    <w:rsid w:val="4CE11DD0"/>
    <w:rsid w:val="4D5E2D2F"/>
    <w:rsid w:val="4DE05383"/>
    <w:rsid w:val="4F58133F"/>
    <w:rsid w:val="4FCA18B2"/>
    <w:rsid w:val="505A3F5D"/>
    <w:rsid w:val="50CA0E15"/>
    <w:rsid w:val="51A83198"/>
    <w:rsid w:val="52FEC052"/>
    <w:rsid w:val="57696871"/>
    <w:rsid w:val="58196B47"/>
    <w:rsid w:val="5BC305E1"/>
    <w:rsid w:val="5C380970"/>
    <w:rsid w:val="5CEF4DF9"/>
    <w:rsid w:val="5DED2353"/>
    <w:rsid w:val="5E5E2E77"/>
    <w:rsid w:val="5E873E9A"/>
    <w:rsid w:val="610E7BD3"/>
    <w:rsid w:val="62A91CAA"/>
    <w:rsid w:val="635A1BAF"/>
    <w:rsid w:val="6CBD018F"/>
    <w:rsid w:val="6CD909D6"/>
    <w:rsid w:val="6DF77649"/>
    <w:rsid w:val="6E515ECE"/>
    <w:rsid w:val="6FD6715B"/>
    <w:rsid w:val="710C7C93"/>
    <w:rsid w:val="72FD42D3"/>
    <w:rsid w:val="74F7FD63"/>
    <w:rsid w:val="754E5394"/>
    <w:rsid w:val="773D15AD"/>
    <w:rsid w:val="7A255D4E"/>
    <w:rsid w:val="7A611410"/>
    <w:rsid w:val="7C9657BA"/>
    <w:rsid w:val="7E622F60"/>
    <w:rsid w:val="7F792AD1"/>
    <w:rsid w:val="BEBF7454"/>
    <w:rsid w:val="F77EE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Body Text Indent"/>
    <w:basedOn w:val="1"/>
    <w:qFormat/>
    <w:uiPriority w:val="0"/>
    <w:pPr>
      <w:snapToGrid w:val="0"/>
      <w:spacing w:line="560" w:lineRule="atLeast"/>
      <w:ind w:firstLine="64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正文样式"/>
    <w:basedOn w:val="6"/>
    <w:qFormat/>
    <w:uiPriority w:val="0"/>
    <w:pPr>
      <w:spacing w:before="0" w:beforeAutospacing="0" w:after="0" w:afterAutospacing="0" w:line="560" w:lineRule="exact"/>
      <w:ind w:firstLine="640" w:firstLineChars="200"/>
      <w:jc w:val="both"/>
    </w:pPr>
    <w:rPr>
      <w:rFonts w:ascii="Times New Roman" w:hAnsi="Times New Roman" w:eastAsia="仿宋_GB2312" w:cs="Times New Roman"/>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9.emf"/><Relationship Id="rId22" Type="http://schemas.openxmlformats.org/officeDocument/2006/relationships/oleObject" Target="embeddings/oleObject9.bin"/><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9589</Words>
  <Characters>10329</Characters>
  <Lines>0</Lines>
  <Paragraphs>0</Paragraphs>
  <TotalTime>2</TotalTime>
  <ScaleCrop>false</ScaleCrop>
  <LinksUpToDate>false</LinksUpToDate>
  <CharactersWithSpaces>10346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2022-09-08T19:25:00Z</dcterms:created>
  <dc:creator>爱逗黎vera</dc:creator>
  <cp:lastModifiedBy>sugon</cp:lastModifiedBy>
  <cp:lastPrinted>2022-09-22T09:35:00Z</cp:lastPrinted>
  <dcterms:modified xsi:type="dcterms:W3CDTF">2023-09-20T15:57:46Z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A907FEBCE1DC460A9A4705A5D94B76BB</vt:lpwstr>
  </property>
</Properties>
</file>