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rPr>
        <w:t>黄山市</w:t>
      </w:r>
      <w:r>
        <w:rPr>
          <w:rFonts w:ascii="Times New Roman" w:hAnsi="Times New Roman" w:eastAsia="方正小标宋_GBK" w:cs="Times New Roman"/>
          <w:color w:val="auto"/>
          <w:sz w:val="44"/>
          <w:szCs w:val="44"/>
        </w:rPr>
        <w:t>市场主体信用合规建设指引</w:t>
      </w:r>
      <w:r>
        <w:rPr>
          <w:rFonts w:hint="eastAsia" w:ascii="Times New Roman" w:hAnsi="Times New Roman" w:eastAsia="方正小标宋_GBK" w:cs="Times New Roman"/>
          <w:color w:val="auto"/>
          <w:sz w:val="44"/>
          <w:szCs w:val="44"/>
          <w:lang w:eastAsia="zh-CN"/>
        </w:rPr>
        <w:t>（</w:t>
      </w:r>
      <w:r>
        <w:rPr>
          <w:rFonts w:hint="eastAsia" w:ascii="Times New Roman" w:hAnsi="Times New Roman" w:eastAsia="方正小标宋_GBK" w:cs="Times New Roman"/>
          <w:color w:val="auto"/>
          <w:sz w:val="44"/>
          <w:szCs w:val="44"/>
          <w:lang w:val="en-US" w:eastAsia="zh-CN"/>
        </w:rPr>
        <w:t>试行</w:t>
      </w:r>
      <w:r>
        <w:rPr>
          <w:rFonts w:hint="eastAsia" w:ascii="Times New Roman" w:hAnsi="Times New Roman" w:eastAsia="方正小标宋_GBK" w:cs="Times New Roman"/>
          <w:color w:val="auto"/>
          <w:sz w:val="44"/>
          <w:szCs w:val="44"/>
          <w:lang w:eastAsia="zh-CN"/>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ascii="Times New Roman" w:hAnsi="Times New Roman" w:eastAsia="黑体"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center"/>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第一章  总则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第一条</w:t>
      </w:r>
      <w:r>
        <w:rPr>
          <w:rFonts w:ascii="Times New Roman" w:hAnsi="Times New Roman" w:eastAsia="仿宋_GB2312" w:cs="Times New Roman"/>
          <w:color w:val="auto"/>
          <w:sz w:val="32"/>
          <w:szCs w:val="32"/>
        </w:rPr>
        <w:t xml:space="preserve"> 为</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市场主体诚信自律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弘扬诚信</w:t>
      </w:r>
      <w:r>
        <w:rPr>
          <w:rFonts w:hint="eastAsia" w:ascii="Times New Roman" w:hAnsi="Times New Roman" w:eastAsia="仿宋_GB2312" w:cs="Times New Roman"/>
          <w:color w:val="auto"/>
          <w:sz w:val="32"/>
          <w:szCs w:val="32"/>
        </w:rPr>
        <w:t>文化</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增强</w:t>
      </w:r>
      <w:r>
        <w:rPr>
          <w:rFonts w:ascii="Times New Roman" w:hAnsi="Times New Roman" w:eastAsia="仿宋_GB2312" w:cs="Times New Roman"/>
          <w:color w:val="auto"/>
          <w:sz w:val="32"/>
          <w:szCs w:val="32"/>
        </w:rPr>
        <w:t>信用合规意识，</w:t>
      </w:r>
      <w:r>
        <w:rPr>
          <w:rFonts w:hint="eastAsia" w:ascii="Times New Roman" w:hAnsi="Times New Roman" w:eastAsia="仿宋_GB2312" w:cs="Times New Roman"/>
          <w:color w:val="auto"/>
          <w:sz w:val="32"/>
          <w:szCs w:val="32"/>
        </w:rPr>
        <w:t>引导</w:t>
      </w:r>
      <w:r>
        <w:rPr>
          <w:rFonts w:ascii="Times New Roman" w:hAnsi="Times New Roman" w:eastAsia="仿宋_GB2312" w:cs="Times New Roman"/>
          <w:color w:val="auto"/>
          <w:sz w:val="32"/>
          <w:szCs w:val="32"/>
        </w:rPr>
        <w:t>市场主体</w:t>
      </w:r>
      <w:r>
        <w:rPr>
          <w:rFonts w:hint="eastAsia" w:ascii="Times New Roman" w:hAnsi="Times New Roman" w:eastAsia="仿宋_GB2312" w:cs="Times New Roman"/>
          <w:color w:val="auto"/>
          <w:sz w:val="32"/>
          <w:szCs w:val="32"/>
        </w:rPr>
        <w:t>建立</w:t>
      </w:r>
      <w:r>
        <w:rPr>
          <w:rFonts w:ascii="Times New Roman" w:hAnsi="Times New Roman" w:eastAsia="仿宋_GB2312" w:cs="Times New Roman"/>
          <w:color w:val="auto"/>
          <w:sz w:val="32"/>
          <w:szCs w:val="32"/>
        </w:rPr>
        <w:t>信用合规制度，</w:t>
      </w:r>
      <w:r>
        <w:rPr>
          <w:rFonts w:hint="eastAsia" w:ascii="Times New Roman" w:hAnsi="Times New Roman" w:eastAsia="仿宋_GB2312" w:cs="Times New Roman"/>
          <w:color w:val="auto"/>
          <w:sz w:val="32"/>
          <w:szCs w:val="32"/>
        </w:rPr>
        <w:t>防范</w:t>
      </w:r>
      <w:r>
        <w:rPr>
          <w:rFonts w:hint="default" w:ascii="Times New Roman" w:hAnsi="Times New Roman" w:eastAsia="仿宋_GB2312" w:cs="Times New Roman"/>
          <w:color w:val="auto"/>
          <w:sz w:val="32"/>
          <w:szCs w:val="32"/>
        </w:rPr>
        <w:t>信用违规风险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推动</w:t>
      </w:r>
      <w:r>
        <w:rPr>
          <w:rFonts w:ascii="Times New Roman" w:hAnsi="Times New Roman" w:eastAsia="仿宋_GB2312" w:cs="Times New Roman"/>
          <w:color w:val="auto"/>
          <w:sz w:val="32"/>
          <w:szCs w:val="32"/>
        </w:rPr>
        <w:t>市场主体高质量发展，根据《</w:t>
      </w:r>
      <w:r>
        <w:rPr>
          <w:rFonts w:hint="eastAsia" w:ascii="Times New Roman" w:hAnsi="Times New Roman" w:eastAsia="仿宋_GB2312" w:cs="Times New Roman"/>
          <w:color w:val="auto"/>
          <w:sz w:val="32"/>
          <w:szCs w:val="32"/>
          <w:lang w:val="en-US" w:eastAsia="zh-CN"/>
        </w:rPr>
        <w:t>中华人民共和国</w:t>
      </w:r>
      <w:r>
        <w:rPr>
          <w:rFonts w:ascii="Times New Roman" w:hAnsi="Times New Roman" w:eastAsia="仿宋_GB2312" w:cs="Times New Roman"/>
          <w:color w:val="auto"/>
          <w:sz w:val="32"/>
          <w:szCs w:val="32"/>
        </w:rPr>
        <w:t>公司法》《企业信息公示暂行条例》《</w:t>
      </w:r>
      <w:r>
        <w:rPr>
          <w:rFonts w:hint="eastAsia" w:ascii="Times New Roman" w:hAnsi="Times New Roman" w:eastAsia="仿宋_GB2312" w:cs="Times New Roman"/>
          <w:color w:val="auto"/>
          <w:sz w:val="32"/>
          <w:szCs w:val="32"/>
          <w:lang w:val="en-US" w:eastAsia="zh-CN"/>
        </w:rPr>
        <w:t>中华人民共和国</w:t>
      </w:r>
      <w:r>
        <w:rPr>
          <w:rFonts w:ascii="Times New Roman" w:hAnsi="Times New Roman" w:eastAsia="仿宋_GB2312" w:cs="Times New Roman"/>
          <w:color w:val="auto"/>
          <w:sz w:val="32"/>
          <w:szCs w:val="32"/>
        </w:rPr>
        <w:t>市场主体登记管理条例》等</w:t>
      </w:r>
      <w:r>
        <w:rPr>
          <w:rFonts w:hint="eastAsia" w:ascii="Times New Roman" w:hAnsi="Times New Roman" w:eastAsia="仿宋_GB2312" w:cs="Times New Roman"/>
          <w:color w:val="auto"/>
          <w:sz w:val="32"/>
          <w:szCs w:val="32"/>
          <w:lang w:val="en-US" w:eastAsia="zh-CN"/>
        </w:rPr>
        <w:t>法律、法规及相</w:t>
      </w:r>
      <w:r>
        <w:rPr>
          <w:rFonts w:ascii="Times New Roman" w:hAnsi="Times New Roman" w:eastAsia="仿宋_GB2312" w:cs="Times New Roman"/>
          <w:color w:val="auto"/>
          <w:sz w:val="32"/>
          <w:szCs w:val="32"/>
        </w:rPr>
        <w:t>关</w:t>
      </w:r>
      <w:r>
        <w:rPr>
          <w:rFonts w:hint="eastAsia" w:ascii="Times New Roman" w:hAnsi="Times New Roman" w:eastAsia="仿宋_GB2312" w:cs="Times New Roman"/>
          <w:color w:val="auto"/>
          <w:sz w:val="32"/>
          <w:szCs w:val="32"/>
        </w:rPr>
        <w:t>规定</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结合本市实际，</w:t>
      </w:r>
      <w:r>
        <w:rPr>
          <w:rFonts w:ascii="Times New Roman" w:hAnsi="Times New Roman" w:eastAsia="仿宋_GB2312" w:cs="Times New Roman"/>
          <w:color w:val="auto"/>
          <w:sz w:val="32"/>
          <w:szCs w:val="32"/>
        </w:rPr>
        <w:t>制定本指引。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hint="eastAsia" w:ascii="Times New Roman" w:hAnsi="Times New Roman" w:eastAsia="仿宋_GB2312" w:cs="Times New Roman"/>
          <w:color w:val="auto"/>
          <w:sz w:val="32"/>
          <w:szCs w:val="32"/>
        </w:rPr>
      </w:pPr>
      <w:r>
        <w:rPr>
          <w:rFonts w:ascii="黑体" w:hAnsi="黑体" w:eastAsia="黑体" w:cs="黑体"/>
          <w:color w:val="auto"/>
          <w:sz w:val="32"/>
          <w:szCs w:val="32"/>
        </w:rPr>
        <w:t>第二条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本指引所称市场主体是</w:t>
      </w:r>
      <w:r>
        <w:rPr>
          <w:rFonts w:hint="eastAsia" w:ascii="Times New Roman" w:hAnsi="Times New Roman" w:eastAsia="仿宋_GB2312" w:cs="Times New Roman"/>
          <w:color w:val="auto"/>
          <w:sz w:val="32"/>
          <w:szCs w:val="32"/>
          <w:lang w:val="en-US" w:eastAsia="zh-CN"/>
        </w:rPr>
        <w:t>指</w:t>
      </w:r>
      <w:r>
        <w:rPr>
          <w:rFonts w:hint="eastAsia" w:ascii="Times New Roman" w:hAnsi="Times New Roman" w:eastAsia="仿宋_GB2312" w:cs="Times New Roman"/>
          <w:color w:val="auto"/>
          <w:sz w:val="32"/>
          <w:szCs w:val="32"/>
        </w:rPr>
        <w:t>在</w:t>
      </w:r>
      <w:r>
        <w:rPr>
          <w:rFonts w:hint="eastAsia" w:ascii="Times New Roman" w:hAnsi="Times New Roman" w:eastAsia="仿宋_GB2312" w:cs="Times New Roman"/>
          <w:color w:val="auto"/>
          <w:sz w:val="32"/>
          <w:szCs w:val="32"/>
          <w:lang w:val="en-US" w:eastAsia="zh-CN"/>
        </w:rPr>
        <w:t>本</w:t>
      </w:r>
      <w:r>
        <w:rPr>
          <w:rFonts w:hint="eastAsia" w:ascii="Times New Roman" w:hAnsi="Times New Roman" w:eastAsia="仿宋_GB2312" w:cs="Times New Roman"/>
          <w:color w:val="auto"/>
          <w:sz w:val="32"/>
          <w:szCs w:val="32"/>
        </w:rPr>
        <w:t>市行政区域内以营利为目的从事经营活动的自然人、法人及非法人组织。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第三条</w:t>
      </w:r>
      <w:r>
        <w:rPr>
          <w:rFonts w:ascii="Times New Roman" w:hAnsi="Times New Roman" w:eastAsia="仿宋_GB2312" w:cs="Times New Roman"/>
          <w:color w:val="auto"/>
          <w:sz w:val="32"/>
          <w:szCs w:val="32"/>
        </w:rPr>
        <w:t xml:space="preserve"> 本指引所称信用合规是指市场主体</w:t>
      </w:r>
      <w:r>
        <w:rPr>
          <w:rFonts w:hint="eastAsia" w:ascii="Times New Roman" w:hAnsi="Times New Roman" w:eastAsia="仿宋_GB2312" w:cs="Times New Roman"/>
          <w:color w:val="auto"/>
          <w:sz w:val="32"/>
          <w:szCs w:val="32"/>
        </w:rPr>
        <w:t>依法合规、诚信经营，</w:t>
      </w:r>
      <w:r>
        <w:rPr>
          <w:rFonts w:ascii="Times New Roman" w:hAnsi="Times New Roman" w:eastAsia="仿宋_GB2312" w:cs="Times New Roman"/>
          <w:color w:val="auto"/>
          <w:sz w:val="32"/>
          <w:szCs w:val="32"/>
        </w:rPr>
        <w:t>其全部信用合规义务得以履行。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lang w:val="en-US" w:eastAsia="zh-CN"/>
        </w:rPr>
        <w:t>四</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本指引所称信用合规建设，是指市场主体</w:t>
      </w:r>
      <w:r>
        <w:rPr>
          <w:rFonts w:hint="eastAsia" w:ascii="Times New Roman" w:hAnsi="Times New Roman" w:eastAsia="仿宋_GB2312" w:cs="Times New Roman"/>
          <w:color w:val="auto"/>
          <w:sz w:val="32"/>
          <w:szCs w:val="32"/>
          <w:lang w:val="en-US" w:eastAsia="zh-CN"/>
        </w:rPr>
        <w:t>以</w:t>
      </w:r>
      <w:r>
        <w:rPr>
          <w:rFonts w:ascii="Times New Roman" w:hAnsi="Times New Roman" w:eastAsia="仿宋_GB2312" w:cs="Times New Roman"/>
          <w:color w:val="auto"/>
          <w:sz w:val="32"/>
          <w:szCs w:val="32"/>
        </w:rPr>
        <w:t>有效防控信用违规风险为目的，以提升依法信用合规建设为导向，主要包括：建立信用合规制度</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落实信用合规内容，完善信用合规管理</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培育信用合规文化等。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本指引所称市场主体信用信息</w:t>
      </w:r>
      <w:r>
        <w:rPr>
          <w:rFonts w:hint="eastAsia" w:ascii="Times New Roman" w:hAnsi="Times New Roman" w:eastAsia="仿宋_GB2312" w:cs="Times New Roman"/>
          <w:color w:val="auto"/>
          <w:sz w:val="32"/>
          <w:szCs w:val="32"/>
          <w:lang w:val="en-US" w:eastAsia="zh-CN"/>
        </w:rPr>
        <w:t>包括</w:t>
      </w:r>
      <w:r>
        <w:rPr>
          <w:rFonts w:ascii="Times New Roman" w:hAnsi="Times New Roman" w:eastAsia="仿宋_GB2312" w:cs="Times New Roman"/>
          <w:color w:val="auto"/>
          <w:sz w:val="32"/>
          <w:szCs w:val="32"/>
        </w:rPr>
        <w:t>市场主体基础信息、年报信息、抽查检查信息、许可信息、行政处罚信息、不实承诺信息、经营异常名录（经营异常状态）信息、严重失信</w:t>
      </w:r>
      <w:r>
        <w:rPr>
          <w:rFonts w:hint="eastAsia" w:ascii="Times New Roman" w:hAnsi="Times New Roman" w:eastAsia="仿宋_GB2312" w:cs="Times New Roman"/>
          <w:color w:val="auto"/>
          <w:sz w:val="32"/>
          <w:szCs w:val="32"/>
          <w:lang w:val="en-US" w:eastAsia="zh-CN"/>
        </w:rPr>
        <w:t>主体</w:t>
      </w:r>
      <w:r>
        <w:rPr>
          <w:rFonts w:ascii="Times New Roman" w:hAnsi="Times New Roman" w:eastAsia="仿宋_GB2312" w:cs="Times New Roman"/>
          <w:color w:val="auto"/>
          <w:sz w:val="32"/>
          <w:szCs w:val="32"/>
        </w:rPr>
        <w:t>名单信息等。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center"/>
        <w:textAlignment w:val="auto"/>
        <w:rPr>
          <w:rFonts w:ascii="Times New Roman" w:hAnsi="Times New Roman" w:eastAsia="黑体"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center"/>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第二章  信用</w:t>
      </w:r>
      <w:r>
        <w:rPr>
          <w:rFonts w:hint="eastAsia" w:ascii="Times New Roman" w:hAnsi="Times New Roman" w:eastAsia="黑体" w:cs="Times New Roman"/>
          <w:color w:val="auto"/>
          <w:sz w:val="32"/>
          <w:szCs w:val="32"/>
        </w:rPr>
        <w:t>合规</w:t>
      </w:r>
      <w:r>
        <w:rPr>
          <w:rFonts w:ascii="Times New Roman" w:hAnsi="Times New Roman" w:eastAsia="黑体" w:cs="Times New Roman"/>
          <w:color w:val="auto"/>
          <w:sz w:val="32"/>
          <w:szCs w:val="32"/>
        </w:rPr>
        <w:t>制度</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第六条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市场主体建立健全信用合规管理制度，构建分级分类的信用合规管理制度体系</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明确总体目标、合规内容、合规管理等。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rPr>
        <w:t>七</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市场主体根据法律</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法规</w:t>
      </w:r>
      <w:r>
        <w:rPr>
          <w:rFonts w:hint="eastAsia" w:ascii="Times New Roman" w:hAnsi="Times New Roman" w:eastAsia="仿宋_GB2312" w:cs="Times New Roman"/>
          <w:color w:val="auto"/>
          <w:sz w:val="32"/>
          <w:szCs w:val="32"/>
          <w:lang w:val="en-US" w:eastAsia="zh-CN"/>
        </w:rPr>
        <w:t>及相关规定</w:t>
      </w:r>
      <w:r>
        <w:rPr>
          <w:rFonts w:ascii="Times New Roman" w:hAnsi="Times New Roman" w:eastAsia="仿宋_GB2312" w:cs="Times New Roman"/>
          <w:color w:val="auto"/>
          <w:sz w:val="32"/>
          <w:szCs w:val="32"/>
        </w:rPr>
        <w:t>等变化情况，及时对规章制度进行修订完善，对执行落实情况进行检查。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rPr>
        <w:t>八</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w:t>
      </w:r>
      <w:r>
        <w:rPr>
          <w:rFonts w:hint="eastAsia" w:ascii="Times New Roman" w:hAnsi="Times New Roman" w:eastAsia="仿宋_GB2312" w:cs="Times New Roman"/>
          <w:color w:val="auto"/>
          <w:sz w:val="32"/>
          <w:szCs w:val="32"/>
        </w:rPr>
        <w:t>成立由主要负责人为组长，财务、销售等部门为成员的信用合规管理工作小组，建立协调合作机制；配备</w:t>
      </w:r>
      <w:r>
        <w:rPr>
          <w:rFonts w:ascii="Times New Roman" w:hAnsi="Times New Roman" w:eastAsia="仿宋_GB2312" w:cs="Times New Roman"/>
          <w:color w:val="auto"/>
          <w:sz w:val="32"/>
          <w:szCs w:val="32"/>
        </w:rPr>
        <w:t>信用合规管理员，</w:t>
      </w:r>
      <w:r>
        <w:rPr>
          <w:rFonts w:hint="eastAsia" w:ascii="Times New Roman" w:hAnsi="Times New Roman" w:eastAsia="仿宋_GB2312" w:cs="Times New Roman"/>
          <w:color w:val="auto"/>
          <w:sz w:val="32"/>
          <w:szCs w:val="32"/>
        </w:rPr>
        <w:t>掌握信用合规管理业务知识和岗位技能，</w:t>
      </w:r>
      <w:r>
        <w:rPr>
          <w:rFonts w:ascii="Times New Roman" w:hAnsi="Times New Roman" w:eastAsia="仿宋_GB2312" w:cs="Times New Roman"/>
          <w:color w:val="auto"/>
          <w:sz w:val="32"/>
          <w:szCs w:val="32"/>
        </w:rPr>
        <w:t>接受行政管理部门业务指导和培训，负责市场主体信用合规管理，开展信用违规风险识别、预警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评估</w:t>
      </w:r>
      <w:r>
        <w:rPr>
          <w:rFonts w:ascii="Times New Roman" w:hAnsi="Times New Roman" w:eastAsia="仿宋_GB2312" w:cs="Times New Roman"/>
          <w:color w:val="auto"/>
          <w:sz w:val="32"/>
          <w:szCs w:val="32"/>
        </w:rPr>
        <w:t>和应对处置，推动市场主体信用合规建设。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大</w:t>
      </w:r>
      <w:r>
        <w:rPr>
          <w:rFonts w:hint="eastAsia" w:ascii="Times New Roman" w:hAnsi="Times New Roman" w:eastAsia="仿宋_GB2312" w:cs="Times New Roman"/>
          <w:color w:val="auto"/>
          <w:sz w:val="32"/>
          <w:szCs w:val="32"/>
          <w:lang w:val="en-US" w:eastAsia="zh-CN"/>
        </w:rPr>
        <w:t>中</w:t>
      </w:r>
      <w:r>
        <w:rPr>
          <w:rFonts w:ascii="Times New Roman" w:hAnsi="Times New Roman" w:eastAsia="仿宋_GB2312" w:cs="Times New Roman"/>
          <w:color w:val="auto"/>
          <w:sz w:val="32"/>
          <w:szCs w:val="32"/>
        </w:rPr>
        <w:t>型企业</w:t>
      </w:r>
      <w:r>
        <w:rPr>
          <w:rFonts w:hint="eastAsia" w:ascii="Times New Roman" w:hAnsi="Times New Roman" w:eastAsia="仿宋_GB2312" w:cs="Times New Roman"/>
          <w:color w:val="auto"/>
          <w:sz w:val="32"/>
          <w:szCs w:val="32"/>
        </w:rPr>
        <w:t>可以</w:t>
      </w:r>
      <w:r>
        <w:rPr>
          <w:rFonts w:ascii="Times New Roman" w:hAnsi="Times New Roman" w:eastAsia="仿宋_GB2312" w:cs="Times New Roman"/>
          <w:color w:val="auto"/>
          <w:sz w:val="32"/>
          <w:szCs w:val="32"/>
        </w:rPr>
        <w:t>配备与经营规模、业务范围、风险水平相适应的专职信用合规管理人员，加强业务培训，提升专业化水平。</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center"/>
        <w:textAlignment w:val="auto"/>
        <w:rPr>
          <w:rFonts w:ascii="Times New Roman" w:hAnsi="Times New Roman" w:eastAsia="黑体"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center"/>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第三章  信用合规内容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rPr>
        <w:t>九</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市场主体在申请</w:t>
      </w:r>
      <w:r>
        <w:rPr>
          <w:rFonts w:hint="eastAsia" w:ascii="Times New Roman" w:hAnsi="Times New Roman" w:eastAsia="仿宋_GB2312" w:cs="Times New Roman"/>
          <w:color w:val="auto"/>
          <w:sz w:val="32"/>
          <w:szCs w:val="32"/>
          <w:lang w:val="en-US" w:eastAsia="zh-CN"/>
        </w:rPr>
        <w:t>办理</w:t>
      </w:r>
      <w:r>
        <w:rPr>
          <w:rFonts w:ascii="Times New Roman" w:hAnsi="Times New Roman" w:eastAsia="仿宋_GB2312" w:cs="Times New Roman"/>
          <w:color w:val="auto"/>
          <w:sz w:val="32"/>
          <w:szCs w:val="32"/>
        </w:rPr>
        <w:t>登记</w:t>
      </w:r>
      <w:r>
        <w:rPr>
          <w:rFonts w:hint="eastAsia" w:ascii="Times New Roman" w:hAnsi="Times New Roman" w:eastAsia="仿宋_GB2312" w:cs="Times New Roman"/>
          <w:color w:val="auto"/>
          <w:sz w:val="32"/>
          <w:szCs w:val="32"/>
        </w:rPr>
        <w:t>注册、</w:t>
      </w:r>
      <w:r>
        <w:rPr>
          <w:rFonts w:ascii="Times New Roman" w:hAnsi="Times New Roman" w:eastAsia="仿宋_GB2312" w:cs="Times New Roman"/>
          <w:color w:val="auto"/>
          <w:sz w:val="32"/>
          <w:szCs w:val="32"/>
        </w:rPr>
        <w:t>行政许可</w:t>
      </w:r>
      <w:r>
        <w:rPr>
          <w:rFonts w:hint="eastAsia" w:ascii="Times New Roman" w:hAnsi="Times New Roman" w:eastAsia="仿宋_GB2312" w:cs="Times New Roman"/>
          <w:color w:val="auto"/>
          <w:sz w:val="32"/>
          <w:szCs w:val="32"/>
          <w:lang w:val="en-US" w:eastAsia="zh-CN"/>
        </w:rPr>
        <w:t>等行政</w:t>
      </w:r>
      <w:r>
        <w:rPr>
          <w:rFonts w:ascii="Times New Roman" w:hAnsi="Times New Roman" w:eastAsia="仿宋_GB2312" w:cs="Times New Roman"/>
          <w:color w:val="auto"/>
          <w:sz w:val="32"/>
          <w:szCs w:val="32"/>
        </w:rPr>
        <w:t>事项时应</w:t>
      </w:r>
      <w:r>
        <w:rPr>
          <w:rFonts w:hint="eastAsia" w:ascii="Times New Roman" w:hAnsi="Times New Roman" w:eastAsia="仿宋_GB2312" w:cs="Times New Roman"/>
          <w:color w:val="auto"/>
          <w:sz w:val="32"/>
          <w:szCs w:val="32"/>
          <w:lang w:val="en-US" w:eastAsia="zh-CN"/>
        </w:rPr>
        <w:t>当</w:t>
      </w:r>
      <w:r>
        <w:rPr>
          <w:rFonts w:ascii="Times New Roman" w:hAnsi="Times New Roman" w:eastAsia="仿宋_GB2312" w:cs="Times New Roman"/>
          <w:color w:val="auto"/>
          <w:sz w:val="32"/>
          <w:szCs w:val="32"/>
        </w:rPr>
        <w:t>提交真实材料</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对承诺事项的真实性、合法性和有效性负责，不得</w:t>
      </w:r>
      <w:r>
        <w:rPr>
          <w:rFonts w:hint="eastAsia" w:ascii="Times New Roman" w:hAnsi="Times New Roman" w:eastAsia="仿宋_GB2312" w:cs="Times New Roman"/>
          <w:color w:val="auto"/>
          <w:sz w:val="32"/>
          <w:szCs w:val="32"/>
        </w:rPr>
        <w:t>弄虚作假</w:t>
      </w:r>
      <w:r>
        <w:rPr>
          <w:rFonts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第十条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企业应当按《企业信息公示暂行条例》第八条之规定，</w:t>
      </w:r>
      <w:r>
        <w:rPr>
          <w:rFonts w:ascii="Times New Roman" w:hAnsi="Times New Roman" w:eastAsia="仿宋_GB2312" w:cs="Times New Roman"/>
          <w:color w:val="auto"/>
          <w:sz w:val="32"/>
          <w:szCs w:val="32"/>
        </w:rPr>
        <w:t>于每年1月1日至6月30日，通过国家企业信用信息公示系统报送上一年度年报，并向社会公示。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个体工商户</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农民专业合作社</w:t>
      </w:r>
      <w:r>
        <w:rPr>
          <w:rFonts w:hint="eastAsia" w:ascii="Times New Roman" w:hAnsi="Times New Roman" w:eastAsia="仿宋_GB2312" w:cs="Times New Roman"/>
          <w:color w:val="auto"/>
          <w:sz w:val="32"/>
          <w:szCs w:val="32"/>
          <w:lang w:val="en-US" w:eastAsia="zh-CN"/>
        </w:rPr>
        <w:t>应当按照《个体工商户年度报告暂行办法》《农民专业合作社年度报告公示暂行办法》规定报送、公示年报</w:t>
      </w:r>
      <w:r>
        <w:rPr>
          <w:rFonts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第十</w:t>
      </w:r>
      <w:r>
        <w:rPr>
          <w:rFonts w:hint="eastAsia" w:ascii="黑体" w:hAnsi="黑体" w:eastAsia="黑体" w:cs="黑体"/>
          <w:color w:val="auto"/>
          <w:sz w:val="32"/>
          <w:szCs w:val="32"/>
        </w:rPr>
        <w:t>一</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企业</w:t>
      </w:r>
      <w:r>
        <w:rPr>
          <w:rFonts w:hint="eastAsia" w:ascii="Times New Roman" w:hAnsi="Times New Roman" w:eastAsia="仿宋_GB2312" w:cs="Times New Roman"/>
          <w:color w:val="auto"/>
          <w:sz w:val="32"/>
          <w:szCs w:val="32"/>
        </w:rPr>
        <w:t>应当按《企业信息公示暂行条例》第十条之规定，</w:t>
      </w:r>
      <w:r>
        <w:rPr>
          <w:rFonts w:ascii="Times New Roman" w:hAnsi="Times New Roman" w:eastAsia="仿宋_GB2312" w:cs="Times New Roman"/>
          <w:color w:val="auto"/>
          <w:sz w:val="32"/>
          <w:szCs w:val="32"/>
        </w:rPr>
        <w:t>自</w:t>
      </w:r>
      <w:r>
        <w:rPr>
          <w:rFonts w:hint="eastAsia" w:ascii="Times New Roman" w:hAnsi="Times New Roman" w:eastAsia="仿宋_GB2312" w:cs="Times New Roman"/>
          <w:color w:val="auto"/>
          <w:sz w:val="32"/>
          <w:szCs w:val="32"/>
          <w:lang w:val="en-US" w:eastAsia="zh-CN"/>
        </w:rPr>
        <w:t>应当</w:t>
      </w:r>
      <w:r>
        <w:rPr>
          <w:rFonts w:hint="eastAsia" w:ascii="Times New Roman" w:hAnsi="Times New Roman" w:eastAsia="仿宋_GB2312" w:cs="Times New Roman"/>
          <w:color w:val="auto"/>
          <w:sz w:val="32"/>
          <w:szCs w:val="32"/>
        </w:rPr>
        <w:t>公示</w:t>
      </w:r>
      <w:r>
        <w:rPr>
          <w:rFonts w:ascii="Times New Roman" w:hAnsi="Times New Roman" w:eastAsia="仿宋_GB2312" w:cs="Times New Roman"/>
          <w:color w:val="auto"/>
          <w:sz w:val="32"/>
          <w:szCs w:val="32"/>
        </w:rPr>
        <w:t>信息形成之日起20个工作日内通过企业信用信息公示系统向社会公示</w:t>
      </w:r>
      <w:r>
        <w:rPr>
          <w:rFonts w:hint="eastAsia"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第十</w:t>
      </w:r>
      <w:r>
        <w:rPr>
          <w:rFonts w:hint="eastAsia" w:ascii="黑体" w:hAnsi="黑体" w:eastAsia="黑体" w:cs="黑体"/>
          <w:color w:val="auto"/>
          <w:sz w:val="32"/>
          <w:szCs w:val="32"/>
        </w:rPr>
        <w:t>二</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市场主体应当</w:t>
      </w:r>
      <w:r>
        <w:rPr>
          <w:rFonts w:ascii="Times New Roman" w:hAnsi="Times New Roman" w:eastAsia="仿宋_GB2312" w:cs="Times New Roman"/>
          <w:color w:val="auto"/>
          <w:sz w:val="32"/>
          <w:szCs w:val="32"/>
        </w:rPr>
        <w:t>对公示信息的真实性负责，不得隐瞒真实情况、弄虚作假。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第十</w:t>
      </w:r>
      <w:r>
        <w:rPr>
          <w:rFonts w:hint="eastAsia" w:ascii="黑体" w:hAnsi="黑体" w:eastAsia="黑体" w:cs="黑体"/>
          <w:color w:val="auto"/>
          <w:sz w:val="32"/>
          <w:szCs w:val="32"/>
        </w:rPr>
        <w:t>三</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市场主体</w:t>
      </w:r>
      <w:r>
        <w:rPr>
          <w:rFonts w:hint="eastAsia" w:ascii="Times New Roman" w:hAnsi="Times New Roman" w:eastAsia="仿宋_GB2312" w:cs="Times New Roman"/>
          <w:color w:val="auto"/>
          <w:sz w:val="32"/>
          <w:szCs w:val="32"/>
        </w:rPr>
        <w:t>应当按《</w:t>
      </w:r>
      <w:r>
        <w:rPr>
          <w:rFonts w:ascii="Times New Roman" w:hAnsi="Times New Roman" w:eastAsia="仿宋_GB2312" w:cs="Times New Roman"/>
          <w:color w:val="auto"/>
          <w:sz w:val="32"/>
          <w:szCs w:val="32"/>
        </w:rPr>
        <w:t>市场主体登记管理条例</w:t>
      </w:r>
      <w:r>
        <w:rPr>
          <w:rFonts w:hint="eastAsia" w:ascii="Times New Roman" w:hAnsi="Times New Roman" w:eastAsia="仿宋_GB2312" w:cs="Times New Roman"/>
          <w:color w:val="auto"/>
          <w:sz w:val="32"/>
          <w:szCs w:val="32"/>
        </w:rPr>
        <w:t>》第三十六条之规定，</w:t>
      </w:r>
      <w:r>
        <w:rPr>
          <w:rFonts w:ascii="Times New Roman" w:hAnsi="Times New Roman" w:eastAsia="仿宋_GB2312" w:cs="Times New Roman"/>
          <w:color w:val="auto"/>
          <w:sz w:val="32"/>
          <w:szCs w:val="32"/>
        </w:rPr>
        <w:t>将营业执照置于住所或者主要经营场所醒目位置，从事电子商务经营的市场主体应</w:t>
      </w:r>
      <w:r>
        <w:rPr>
          <w:rFonts w:hint="eastAsia" w:ascii="Times New Roman" w:hAnsi="Times New Roman" w:eastAsia="仿宋_GB2312" w:cs="Times New Roman"/>
          <w:color w:val="auto"/>
          <w:sz w:val="32"/>
          <w:szCs w:val="32"/>
          <w:lang w:val="en-US" w:eastAsia="zh-CN"/>
        </w:rPr>
        <w:t>当</w:t>
      </w:r>
      <w:r>
        <w:rPr>
          <w:rFonts w:ascii="Times New Roman" w:hAnsi="Times New Roman" w:eastAsia="仿宋_GB2312" w:cs="Times New Roman"/>
          <w:color w:val="auto"/>
          <w:sz w:val="32"/>
          <w:szCs w:val="32"/>
        </w:rPr>
        <w:t>在其首页显著位置持续公示营业执照信息或者相关链接标识。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第十</w:t>
      </w:r>
      <w:r>
        <w:rPr>
          <w:rFonts w:hint="eastAsia" w:ascii="黑体" w:hAnsi="黑体" w:eastAsia="黑体" w:cs="黑体"/>
          <w:color w:val="auto"/>
          <w:sz w:val="32"/>
          <w:szCs w:val="32"/>
        </w:rPr>
        <w:t>四</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市场主体</w:t>
      </w:r>
      <w:r>
        <w:rPr>
          <w:rFonts w:hint="eastAsia" w:ascii="Times New Roman" w:hAnsi="Times New Roman" w:eastAsia="仿宋_GB2312" w:cs="Times New Roman"/>
          <w:color w:val="auto"/>
          <w:sz w:val="32"/>
          <w:szCs w:val="32"/>
        </w:rPr>
        <w:t>应当</w:t>
      </w:r>
      <w:r>
        <w:rPr>
          <w:rFonts w:ascii="Times New Roman" w:hAnsi="Times New Roman" w:eastAsia="仿宋_GB2312" w:cs="Times New Roman"/>
          <w:color w:val="auto"/>
          <w:sz w:val="32"/>
          <w:szCs w:val="32"/>
        </w:rPr>
        <w:t>在登记的住所或经营场所开展经营活动。住所或经营场所发生变化时，</w:t>
      </w:r>
      <w:r>
        <w:rPr>
          <w:rFonts w:hint="eastAsia" w:ascii="Times New Roman" w:hAnsi="Times New Roman" w:eastAsia="仿宋_GB2312" w:cs="Times New Roman"/>
          <w:color w:val="auto"/>
          <w:sz w:val="32"/>
          <w:szCs w:val="32"/>
        </w:rPr>
        <w:t>应当</w:t>
      </w:r>
      <w:r>
        <w:rPr>
          <w:rFonts w:hint="eastAsia" w:ascii="Times New Roman" w:hAnsi="Times New Roman" w:eastAsia="仿宋_GB2312" w:cs="Times New Roman"/>
          <w:color w:val="auto"/>
          <w:sz w:val="32"/>
          <w:szCs w:val="32"/>
          <w:lang w:val="en-US" w:eastAsia="zh-CN"/>
        </w:rPr>
        <w:t>依法向</w:t>
      </w:r>
      <w:r>
        <w:rPr>
          <w:rFonts w:ascii="Times New Roman" w:hAnsi="Times New Roman" w:eastAsia="仿宋_GB2312" w:cs="Times New Roman"/>
          <w:color w:val="auto"/>
          <w:sz w:val="32"/>
          <w:szCs w:val="32"/>
        </w:rPr>
        <w:t>登记机关</w:t>
      </w:r>
      <w:r>
        <w:rPr>
          <w:rFonts w:hint="eastAsia" w:ascii="Times New Roman" w:hAnsi="Times New Roman" w:eastAsia="仿宋_GB2312" w:cs="Times New Roman"/>
          <w:color w:val="auto"/>
          <w:sz w:val="32"/>
          <w:szCs w:val="32"/>
        </w:rPr>
        <w:t>申请</w:t>
      </w:r>
      <w:r>
        <w:rPr>
          <w:rFonts w:ascii="Times New Roman" w:hAnsi="Times New Roman" w:eastAsia="仿宋_GB2312" w:cs="Times New Roman"/>
          <w:color w:val="auto"/>
          <w:sz w:val="32"/>
          <w:szCs w:val="32"/>
        </w:rPr>
        <w:t>变更登记。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第十</w:t>
      </w:r>
      <w:r>
        <w:rPr>
          <w:rFonts w:hint="eastAsia" w:ascii="黑体" w:hAnsi="黑体" w:eastAsia="黑体" w:cs="黑体"/>
          <w:color w:val="auto"/>
          <w:sz w:val="32"/>
          <w:szCs w:val="32"/>
        </w:rPr>
        <w:t>五</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市场主体</w:t>
      </w:r>
      <w:r>
        <w:rPr>
          <w:rFonts w:hint="eastAsia" w:ascii="Times New Roman" w:hAnsi="Times New Roman" w:eastAsia="仿宋_GB2312" w:cs="Times New Roman"/>
          <w:color w:val="auto"/>
          <w:sz w:val="32"/>
          <w:szCs w:val="32"/>
        </w:rPr>
        <w:t>应当</w:t>
      </w:r>
      <w:r>
        <w:rPr>
          <w:rFonts w:ascii="Times New Roman" w:hAnsi="Times New Roman" w:eastAsia="仿宋_GB2312" w:cs="Times New Roman"/>
          <w:color w:val="auto"/>
          <w:sz w:val="32"/>
          <w:szCs w:val="32"/>
        </w:rPr>
        <w:t>遵守各行业</w:t>
      </w:r>
      <w:r>
        <w:rPr>
          <w:rFonts w:hint="eastAsia" w:ascii="Times New Roman" w:hAnsi="Times New Roman" w:eastAsia="仿宋_GB2312" w:cs="Times New Roman"/>
          <w:color w:val="auto"/>
          <w:sz w:val="32"/>
          <w:szCs w:val="32"/>
          <w:lang w:val="en-US" w:eastAsia="zh-CN"/>
        </w:rPr>
        <w:t>领域</w:t>
      </w:r>
      <w:r>
        <w:rPr>
          <w:rFonts w:ascii="Times New Roman" w:hAnsi="Times New Roman" w:eastAsia="仿宋_GB2312" w:cs="Times New Roman"/>
          <w:color w:val="auto"/>
          <w:sz w:val="32"/>
          <w:szCs w:val="32"/>
        </w:rPr>
        <w:t>有关法律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法规及相关规定</w:t>
      </w:r>
      <w:r>
        <w:rPr>
          <w:rFonts w:ascii="Times New Roman" w:hAnsi="Times New Roman" w:eastAsia="仿宋_GB2312" w:cs="Times New Roman"/>
          <w:color w:val="auto"/>
          <w:sz w:val="32"/>
          <w:szCs w:val="32"/>
        </w:rPr>
        <w:t>，合法合规经营</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做到主体资格合规、业务经营合规、制度管理合规、场所要求合规、从业人员合规等。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hint="eastAsia" w:ascii="Times New Roman" w:hAnsi="Times New Roman" w:eastAsia="仿宋_GB2312" w:cs="Times New Roman"/>
          <w:color w:val="auto"/>
          <w:sz w:val="32"/>
          <w:szCs w:val="32"/>
        </w:rPr>
      </w:pPr>
      <w:r>
        <w:rPr>
          <w:rFonts w:ascii="黑体" w:hAnsi="黑体" w:eastAsia="黑体" w:cs="黑体"/>
          <w:color w:val="auto"/>
          <w:sz w:val="32"/>
          <w:szCs w:val="32"/>
        </w:rPr>
        <w:t>第十</w:t>
      </w:r>
      <w:r>
        <w:rPr>
          <w:rFonts w:hint="eastAsia" w:ascii="黑体" w:hAnsi="黑体" w:eastAsia="黑体" w:cs="黑体"/>
          <w:color w:val="auto"/>
          <w:sz w:val="32"/>
          <w:szCs w:val="32"/>
        </w:rPr>
        <w:t>六</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市场主体应</w:t>
      </w:r>
      <w:r>
        <w:rPr>
          <w:rFonts w:hint="eastAsia" w:ascii="Times New Roman" w:hAnsi="Times New Roman" w:eastAsia="仿宋_GB2312" w:cs="Times New Roman"/>
          <w:color w:val="auto"/>
          <w:sz w:val="32"/>
          <w:szCs w:val="32"/>
        </w:rPr>
        <w:t>当</w:t>
      </w:r>
      <w:r>
        <w:rPr>
          <w:rFonts w:hint="eastAsia" w:ascii="Times New Roman" w:hAnsi="Times New Roman" w:eastAsia="仿宋_GB2312" w:cs="Times New Roman"/>
          <w:color w:val="auto"/>
          <w:sz w:val="32"/>
          <w:szCs w:val="32"/>
          <w:lang w:val="en-US" w:eastAsia="zh-CN"/>
        </w:rPr>
        <w:t>严格防范</w:t>
      </w:r>
      <w:r>
        <w:rPr>
          <w:rFonts w:ascii="Times New Roman" w:hAnsi="Times New Roman" w:eastAsia="仿宋_GB2312" w:cs="Times New Roman"/>
          <w:color w:val="auto"/>
          <w:sz w:val="32"/>
          <w:szCs w:val="32"/>
        </w:rPr>
        <w:t>严重违法失信行为</w:t>
      </w:r>
      <w:r>
        <w:rPr>
          <w:rFonts w:hint="eastAsia"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center"/>
        <w:textAlignment w:val="auto"/>
        <w:rPr>
          <w:rFonts w:ascii="Times New Roman" w:hAnsi="Times New Roman" w:eastAsia="黑体"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center"/>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第四章 </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信用合规管理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第十七条</w:t>
      </w:r>
      <w:r>
        <w:rPr>
          <w:rFonts w:hint="eastAsia" w:ascii="Times New Roman" w:hAnsi="Times New Roman" w:eastAsia="仿宋_GB2312" w:cs="Times New Roman"/>
          <w:color w:val="auto"/>
          <w:sz w:val="32"/>
          <w:szCs w:val="32"/>
        </w:rPr>
        <w:t xml:space="preserve"> 鼓励市场主体将信用合规要求嵌入经营管理各领域各环节，贯</w:t>
      </w:r>
      <w:r>
        <w:rPr>
          <w:rFonts w:hint="eastAsia" w:ascii="Times New Roman" w:hAnsi="Times New Roman" w:eastAsia="仿宋_GB2312" w:cs="Times New Roman"/>
          <w:color w:val="auto"/>
          <w:sz w:val="32"/>
          <w:szCs w:val="32"/>
          <w:lang w:val="en-US" w:eastAsia="zh-CN"/>
        </w:rPr>
        <w:t>穿</w:t>
      </w:r>
      <w:r>
        <w:rPr>
          <w:rFonts w:hint="eastAsia" w:ascii="Times New Roman" w:hAnsi="Times New Roman" w:eastAsia="仿宋_GB2312" w:cs="Times New Roman"/>
          <w:color w:val="auto"/>
          <w:sz w:val="32"/>
          <w:szCs w:val="32"/>
        </w:rPr>
        <w:t>决策、执行、监督全过程。</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第十八条</w:t>
      </w:r>
      <w:r>
        <w:rPr>
          <w:rFonts w:hint="eastAsia" w:ascii="Times New Roman" w:hAnsi="Times New Roman" w:eastAsia="仿宋_GB2312" w:cs="Times New Roman"/>
          <w:color w:val="auto"/>
          <w:sz w:val="32"/>
          <w:szCs w:val="32"/>
        </w:rPr>
        <w:t xml:space="preserve"> 鼓励市场主体按照“管业务</w:t>
      </w:r>
      <w:r>
        <w:rPr>
          <w:rFonts w:hint="eastAsia" w:ascii="Times New Roman" w:hAnsi="Times New Roman" w:eastAsia="仿宋_GB2312" w:cs="Times New Roman"/>
          <w:color w:val="auto"/>
          <w:sz w:val="32"/>
          <w:szCs w:val="32"/>
          <w:lang w:val="en-US" w:eastAsia="zh-CN"/>
        </w:rPr>
        <w:t>就</w:t>
      </w:r>
      <w:r>
        <w:rPr>
          <w:rFonts w:hint="eastAsia" w:ascii="Times New Roman" w:hAnsi="Times New Roman" w:eastAsia="仿宋_GB2312" w:cs="Times New Roman"/>
          <w:color w:val="auto"/>
          <w:sz w:val="32"/>
          <w:szCs w:val="32"/>
        </w:rPr>
        <w:t>需管信用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管经营就需管信用</w:t>
      </w:r>
      <w:r>
        <w:rPr>
          <w:rFonts w:hint="eastAsia" w:ascii="Times New Roman" w:hAnsi="Times New Roman" w:eastAsia="仿宋_GB2312" w:cs="Times New Roman"/>
          <w:color w:val="auto"/>
          <w:sz w:val="32"/>
          <w:szCs w:val="32"/>
        </w:rPr>
        <w:t>”要求，</w:t>
      </w:r>
      <w:r>
        <w:rPr>
          <w:rFonts w:hint="eastAsia"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信用合规</w:t>
      </w:r>
      <w:r>
        <w:rPr>
          <w:rFonts w:hint="eastAsia" w:ascii="Times New Roman" w:hAnsi="Times New Roman" w:eastAsia="仿宋_GB2312" w:cs="Times New Roman"/>
          <w:color w:val="auto"/>
          <w:sz w:val="32"/>
          <w:szCs w:val="32"/>
        </w:rPr>
        <w:t>职责落实</w:t>
      </w:r>
      <w:r>
        <w:rPr>
          <w:rFonts w:hint="eastAsia" w:ascii="Times New Roman" w:hAnsi="Times New Roman" w:eastAsia="仿宋_GB2312" w:cs="Times New Roman"/>
          <w:color w:val="auto"/>
          <w:sz w:val="32"/>
          <w:szCs w:val="32"/>
          <w:lang w:val="en-US" w:eastAsia="zh-CN"/>
        </w:rPr>
        <w:t>到相关部门和人员</w:t>
      </w:r>
      <w:r>
        <w:rPr>
          <w:rFonts w:hint="eastAsia"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第十</w:t>
      </w:r>
      <w:r>
        <w:rPr>
          <w:rFonts w:hint="eastAsia" w:ascii="黑体" w:hAnsi="黑体" w:eastAsia="黑体" w:cs="黑体"/>
          <w:color w:val="auto"/>
          <w:sz w:val="32"/>
          <w:szCs w:val="32"/>
        </w:rPr>
        <w:t>九</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市场主体</w:t>
      </w:r>
      <w:r>
        <w:rPr>
          <w:rFonts w:hint="eastAsia" w:ascii="Times New Roman" w:hAnsi="Times New Roman" w:eastAsia="仿宋_GB2312" w:cs="Times New Roman"/>
          <w:color w:val="auto"/>
          <w:sz w:val="32"/>
          <w:szCs w:val="32"/>
          <w:lang w:val="en-US" w:eastAsia="zh-CN"/>
        </w:rPr>
        <w:t>主要负责人对信用合规负总责，</w:t>
      </w:r>
      <w:r>
        <w:rPr>
          <w:rFonts w:ascii="Times New Roman" w:hAnsi="Times New Roman" w:eastAsia="仿宋_GB2312" w:cs="Times New Roman"/>
          <w:color w:val="auto"/>
          <w:sz w:val="32"/>
          <w:szCs w:val="32"/>
        </w:rPr>
        <w:t>信用合规管理员</w:t>
      </w:r>
      <w:r>
        <w:rPr>
          <w:rFonts w:hint="eastAsia" w:ascii="Times New Roman" w:hAnsi="Times New Roman" w:eastAsia="仿宋_GB2312" w:cs="Times New Roman"/>
          <w:color w:val="auto"/>
          <w:sz w:val="32"/>
          <w:szCs w:val="32"/>
        </w:rPr>
        <w:t>履行以下</w:t>
      </w:r>
      <w:r>
        <w:rPr>
          <w:rFonts w:ascii="Times New Roman" w:hAnsi="Times New Roman" w:eastAsia="仿宋_GB2312" w:cs="Times New Roman"/>
          <w:color w:val="auto"/>
          <w:sz w:val="32"/>
          <w:szCs w:val="32"/>
        </w:rPr>
        <w:t>识别、评估和监测信用违规风险的职责：</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（一）列入经营异常名录（标记经营异常状态）的风险；</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（二）违反法律法规</w:t>
      </w:r>
      <w:r>
        <w:rPr>
          <w:rFonts w:hint="eastAsia" w:ascii="Times New Roman" w:hAnsi="Times New Roman" w:eastAsia="仿宋_GB2312" w:cs="Times New Roman"/>
          <w:color w:val="auto"/>
          <w:sz w:val="32"/>
          <w:szCs w:val="32"/>
        </w:rPr>
        <w:t>规章</w:t>
      </w:r>
      <w:r>
        <w:rPr>
          <w:rFonts w:ascii="Times New Roman" w:hAnsi="Times New Roman" w:eastAsia="仿宋_GB2312" w:cs="Times New Roman"/>
          <w:color w:val="auto"/>
          <w:sz w:val="32"/>
          <w:szCs w:val="32"/>
        </w:rPr>
        <w:t>被行政处罚的风险；</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（三）列入严重失信</w:t>
      </w:r>
      <w:r>
        <w:rPr>
          <w:rFonts w:hint="eastAsia" w:ascii="Times New Roman" w:hAnsi="Times New Roman" w:eastAsia="仿宋_GB2312" w:cs="Times New Roman"/>
          <w:color w:val="auto"/>
          <w:sz w:val="32"/>
          <w:szCs w:val="32"/>
          <w:lang w:val="en-US" w:eastAsia="zh-CN"/>
        </w:rPr>
        <w:t>主体</w:t>
      </w:r>
      <w:r>
        <w:rPr>
          <w:rFonts w:ascii="Times New Roman" w:hAnsi="Times New Roman" w:eastAsia="仿宋_GB2312" w:cs="Times New Roman"/>
          <w:color w:val="auto"/>
          <w:sz w:val="32"/>
          <w:szCs w:val="32"/>
        </w:rPr>
        <w:t>名单的风险；</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四</w:t>
      </w:r>
      <w:r>
        <w:rPr>
          <w:rFonts w:ascii="Times New Roman" w:hAnsi="Times New Roman" w:eastAsia="仿宋_GB2312" w:cs="Times New Roman"/>
          <w:color w:val="auto"/>
          <w:sz w:val="32"/>
          <w:szCs w:val="32"/>
        </w:rPr>
        <w:t>）不实承诺信息的风险；</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五</w:t>
      </w:r>
      <w:r>
        <w:rPr>
          <w:rFonts w:ascii="Times New Roman" w:hAnsi="Times New Roman" w:eastAsia="仿宋_GB2312" w:cs="Times New Roman"/>
          <w:color w:val="auto"/>
          <w:sz w:val="32"/>
          <w:szCs w:val="32"/>
        </w:rPr>
        <w:t>）其他信用违规风险。</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rPr>
        <w:t>二</w:t>
      </w:r>
      <w:r>
        <w:rPr>
          <w:rFonts w:ascii="黑体" w:hAnsi="黑体" w:eastAsia="黑体" w:cs="黑体"/>
          <w:color w:val="auto"/>
          <w:sz w:val="32"/>
          <w:szCs w:val="32"/>
        </w:rPr>
        <w:t>十条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市场主体全面梳理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查找</w:t>
      </w:r>
      <w:r>
        <w:rPr>
          <w:rFonts w:ascii="Times New Roman" w:hAnsi="Times New Roman" w:eastAsia="仿宋_GB2312" w:cs="Times New Roman"/>
          <w:color w:val="auto"/>
          <w:sz w:val="32"/>
          <w:szCs w:val="32"/>
        </w:rPr>
        <w:t>信用违规风险</w:t>
      </w:r>
      <w:r>
        <w:rPr>
          <w:rFonts w:hint="eastAsia" w:ascii="Times New Roman" w:hAnsi="Times New Roman" w:eastAsia="仿宋_GB2312" w:cs="Times New Roman"/>
          <w:color w:val="auto"/>
          <w:sz w:val="32"/>
          <w:szCs w:val="32"/>
          <w:lang w:val="en-US" w:eastAsia="zh-CN"/>
        </w:rPr>
        <w:t>点</w:t>
      </w:r>
      <w:r>
        <w:rPr>
          <w:rFonts w:ascii="Times New Roman" w:hAnsi="Times New Roman" w:eastAsia="仿宋_GB2312" w:cs="Times New Roman"/>
          <w:color w:val="auto"/>
          <w:sz w:val="32"/>
          <w:szCs w:val="32"/>
        </w:rPr>
        <w:t>，分析</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评估信用违规风险</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及时预警</w:t>
      </w:r>
      <w:r>
        <w:rPr>
          <w:rFonts w:hint="eastAsia" w:ascii="Times New Roman" w:hAnsi="Times New Roman" w:eastAsia="仿宋_GB2312" w:cs="Times New Roman"/>
          <w:color w:val="auto"/>
          <w:sz w:val="32"/>
          <w:szCs w:val="32"/>
        </w:rPr>
        <w:t>和化解信用风险</w:t>
      </w:r>
      <w:r>
        <w:rPr>
          <w:rFonts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第二十</w:t>
      </w:r>
      <w:r>
        <w:rPr>
          <w:rFonts w:hint="eastAsia" w:ascii="黑体" w:hAnsi="黑体" w:eastAsia="黑体" w:cs="黑体"/>
          <w:color w:val="auto"/>
          <w:sz w:val="32"/>
          <w:szCs w:val="32"/>
        </w:rPr>
        <w:t>一</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市场主体建立信用违规风险识别机制，建立并定期更新信用合规数据库，对信用风险发生的可能性、影响程度、潜在后果等进行分析，准确识别信用违规风险点。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第二十</w:t>
      </w:r>
      <w:r>
        <w:rPr>
          <w:rFonts w:hint="eastAsia" w:ascii="黑体" w:hAnsi="黑体" w:eastAsia="黑体" w:cs="黑体"/>
          <w:color w:val="auto"/>
          <w:sz w:val="32"/>
          <w:szCs w:val="32"/>
        </w:rPr>
        <w:t>二</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市场主体建立信用违规风险预警机制，就典型性、普遍性或者可能产生的信用违规风险，对相关业务部门发出预警信息，告知相关负责人员提前介入。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第二十</w:t>
      </w:r>
      <w:r>
        <w:rPr>
          <w:rFonts w:hint="eastAsia" w:ascii="黑体" w:hAnsi="黑体" w:eastAsia="黑体" w:cs="黑体"/>
          <w:color w:val="auto"/>
          <w:sz w:val="32"/>
          <w:szCs w:val="32"/>
        </w:rPr>
        <w:t>三</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市场主体建立信用违规风险评估机制，根据法律</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法规</w:t>
      </w:r>
      <w:r>
        <w:rPr>
          <w:rFonts w:hint="eastAsia" w:ascii="Times New Roman" w:hAnsi="Times New Roman" w:eastAsia="仿宋_GB2312" w:cs="Times New Roman"/>
          <w:color w:val="auto"/>
          <w:sz w:val="32"/>
          <w:szCs w:val="32"/>
          <w:lang w:val="en-US" w:eastAsia="zh-CN"/>
        </w:rPr>
        <w:t>及相关规定</w:t>
      </w:r>
      <w:r>
        <w:rPr>
          <w:rFonts w:ascii="Times New Roman" w:hAnsi="Times New Roman" w:eastAsia="仿宋_GB2312" w:cs="Times New Roman"/>
          <w:color w:val="auto"/>
          <w:sz w:val="32"/>
          <w:szCs w:val="32"/>
        </w:rPr>
        <w:t>等变化情况，</w:t>
      </w:r>
      <w:r>
        <w:rPr>
          <w:rFonts w:hint="eastAsia" w:ascii="Times New Roman" w:hAnsi="Times New Roman" w:eastAsia="仿宋_GB2312" w:cs="Times New Roman"/>
          <w:color w:val="auto"/>
          <w:sz w:val="32"/>
          <w:szCs w:val="32"/>
          <w:lang w:val="en-US" w:eastAsia="zh-CN"/>
        </w:rPr>
        <w:t>结合自身实际，</w:t>
      </w:r>
      <w:r>
        <w:rPr>
          <w:rFonts w:ascii="Times New Roman" w:hAnsi="Times New Roman" w:eastAsia="仿宋_GB2312" w:cs="Times New Roman"/>
          <w:color w:val="auto"/>
          <w:sz w:val="32"/>
          <w:szCs w:val="32"/>
        </w:rPr>
        <w:t>对信用违规风险进行研判，</w:t>
      </w:r>
      <w:r>
        <w:rPr>
          <w:rFonts w:hint="eastAsia" w:ascii="Times New Roman" w:hAnsi="Times New Roman" w:eastAsia="仿宋_GB2312" w:cs="Times New Roman"/>
          <w:color w:val="auto"/>
          <w:sz w:val="32"/>
          <w:szCs w:val="32"/>
        </w:rPr>
        <w:t>预估可能产生的风险等级，</w:t>
      </w:r>
      <w:r>
        <w:rPr>
          <w:rFonts w:ascii="Times New Roman" w:hAnsi="Times New Roman" w:eastAsia="仿宋_GB2312" w:cs="Times New Roman"/>
          <w:color w:val="auto"/>
          <w:sz w:val="32"/>
          <w:szCs w:val="32"/>
        </w:rPr>
        <w:t>并</w:t>
      </w:r>
      <w:r>
        <w:rPr>
          <w:rFonts w:hint="eastAsia" w:ascii="Times New Roman" w:hAnsi="Times New Roman" w:eastAsia="仿宋_GB2312" w:cs="Times New Roman"/>
          <w:color w:val="auto"/>
          <w:sz w:val="32"/>
          <w:szCs w:val="32"/>
        </w:rPr>
        <w:t>根据不同风险等</w:t>
      </w:r>
      <w:r>
        <w:rPr>
          <w:rFonts w:hint="default" w:ascii="Times New Roman" w:hAnsi="Times New Roman" w:eastAsia="仿宋_GB2312" w:cs="Times New Roman"/>
          <w:color w:val="auto"/>
          <w:sz w:val="32"/>
          <w:szCs w:val="32"/>
        </w:rPr>
        <w:t>级</w:t>
      </w:r>
      <w:r>
        <w:rPr>
          <w:rFonts w:ascii="Times New Roman" w:hAnsi="Times New Roman" w:eastAsia="仿宋_GB2312" w:cs="Times New Roman"/>
          <w:color w:val="auto"/>
          <w:sz w:val="32"/>
          <w:szCs w:val="32"/>
        </w:rPr>
        <w:t>采取有效措施妥善应对。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第二十</w:t>
      </w:r>
      <w:r>
        <w:rPr>
          <w:rFonts w:hint="eastAsia" w:ascii="黑体" w:hAnsi="黑体" w:eastAsia="黑体" w:cs="黑体"/>
          <w:color w:val="auto"/>
          <w:sz w:val="32"/>
          <w:szCs w:val="32"/>
        </w:rPr>
        <w:t>四</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建立信用违规风险处置机制，对违法违规问题及时整改。对未产生失信影响的，通过健全规章制度、优化业务流程等，堵塞管理漏洞；对已产生失信影响的，实行快速处置、分类处置，制止违法违规行为，尽快消除不良影响。</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第二十</w:t>
      </w:r>
      <w:r>
        <w:rPr>
          <w:rFonts w:hint="eastAsia" w:ascii="黑体" w:hAnsi="黑体" w:eastAsia="黑体" w:cs="黑体"/>
          <w:color w:val="auto"/>
          <w:sz w:val="32"/>
          <w:szCs w:val="32"/>
        </w:rPr>
        <w:t>五</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市场主体</w:t>
      </w:r>
      <w:r>
        <w:rPr>
          <w:rFonts w:hint="eastAsia" w:ascii="Times New Roman" w:hAnsi="Times New Roman" w:eastAsia="仿宋_GB2312" w:cs="Times New Roman"/>
          <w:color w:val="auto"/>
          <w:sz w:val="32"/>
          <w:szCs w:val="32"/>
        </w:rPr>
        <w:t>可以</w:t>
      </w:r>
      <w:r>
        <w:rPr>
          <w:rFonts w:ascii="Times New Roman" w:hAnsi="Times New Roman" w:eastAsia="仿宋_GB2312" w:cs="Times New Roman"/>
          <w:color w:val="auto"/>
          <w:sz w:val="32"/>
          <w:szCs w:val="32"/>
        </w:rPr>
        <w:t>建立信用违规风险报告制度</w:t>
      </w:r>
      <w:r>
        <w:rPr>
          <w:rFonts w:hint="eastAsia" w:ascii="Times New Roman" w:hAnsi="Times New Roman" w:eastAsia="仿宋_GB2312" w:cs="Times New Roman"/>
          <w:color w:val="auto"/>
          <w:sz w:val="32"/>
          <w:szCs w:val="32"/>
          <w:lang w:val="en-US" w:eastAsia="zh-CN"/>
        </w:rPr>
        <w:t>和激励机制</w:t>
      </w:r>
      <w:r>
        <w:rPr>
          <w:rFonts w:ascii="Times New Roman" w:hAnsi="Times New Roman" w:eastAsia="仿宋_GB2312" w:cs="Times New Roman"/>
          <w:color w:val="auto"/>
          <w:sz w:val="32"/>
          <w:szCs w:val="32"/>
        </w:rPr>
        <w:t>，鼓励员工报告信用违规</w:t>
      </w:r>
      <w:r>
        <w:rPr>
          <w:rFonts w:hint="eastAsia" w:ascii="Times New Roman" w:hAnsi="Times New Roman" w:eastAsia="仿宋_GB2312" w:cs="Times New Roman"/>
          <w:color w:val="auto"/>
          <w:sz w:val="32"/>
          <w:szCs w:val="32"/>
          <w:lang w:val="en-US" w:eastAsia="zh-CN"/>
        </w:rPr>
        <w:t>风险</w:t>
      </w:r>
      <w:r>
        <w:rPr>
          <w:rFonts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第二十</w:t>
      </w:r>
      <w:r>
        <w:rPr>
          <w:rFonts w:hint="eastAsia" w:ascii="黑体" w:hAnsi="黑体" w:eastAsia="黑体" w:cs="黑体"/>
          <w:color w:val="auto"/>
          <w:sz w:val="32"/>
          <w:szCs w:val="32"/>
        </w:rPr>
        <w:t>六</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市场主体</w:t>
      </w:r>
      <w:r>
        <w:rPr>
          <w:rFonts w:hint="eastAsia" w:ascii="Times New Roman" w:hAnsi="Times New Roman" w:eastAsia="仿宋_GB2312" w:cs="Times New Roman"/>
          <w:color w:val="auto"/>
          <w:sz w:val="32"/>
          <w:szCs w:val="32"/>
        </w:rPr>
        <w:t>应当</w:t>
      </w:r>
      <w:r>
        <w:rPr>
          <w:rFonts w:ascii="Times New Roman" w:hAnsi="Times New Roman" w:eastAsia="仿宋_GB2312" w:cs="Times New Roman"/>
          <w:color w:val="auto"/>
          <w:sz w:val="32"/>
          <w:szCs w:val="32"/>
        </w:rPr>
        <w:t>及时主动纠正违法失信行为、消除不良影响</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重塑信用。</w:t>
      </w:r>
      <w:r>
        <w:rPr>
          <w:rFonts w:hint="eastAsia" w:ascii="Times New Roman" w:hAnsi="Times New Roman" w:eastAsia="仿宋_GB2312" w:cs="Times New Roman"/>
          <w:color w:val="auto"/>
          <w:sz w:val="32"/>
          <w:szCs w:val="32"/>
        </w:rPr>
        <w:t>有下列失信信息，市场主体可以申请信用修复</w:t>
      </w:r>
      <w:r>
        <w:rPr>
          <w:rFonts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（一）经营异常名录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经营异常状态</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（二）行政处罚信息；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（三）严重失信</w:t>
      </w:r>
      <w:r>
        <w:rPr>
          <w:rFonts w:hint="eastAsia" w:ascii="Times New Roman" w:hAnsi="Times New Roman" w:eastAsia="仿宋_GB2312" w:cs="Times New Roman"/>
          <w:color w:val="auto"/>
          <w:sz w:val="32"/>
          <w:szCs w:val="32"/>
          <w:lang w:val="en-US" w:eastAsia="zh-CN"/>
        </w:rPr>
        <w:t>主体名单</w:t>
      </w:r>
      <w:r>
        <w:rPr>
          <w:rFonts w:ascii="Times New Roman" w:hAnsi="Times New Roman" w:eastAsia="仿宋_GB2312" w:cs="Times New Roman"/>
          <w:color w:val="auto"/>
          <w:sz w:val="32"/>
          <w:szCs w:val="32"/>
        </w:rPr>
        <w:t>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（四）不实承诺信息；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（五）抽查检查信息。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hint="default" w:ascii="Times New Roman" w:hAnsi="Times New Roman" w:eastAsia="仿宋_GB2312" w:cs="Times New Roman"/>
          <w:color w:val="auto"/>
          <w:sz w:val="32"/>
          <w:szCs w:val="32"/>
          <w:lang w:val="en-US" w:eastAsia="zh-CN"/>
        </w:rPr>
      </w:pPr>
      <w:r>
        <w:rPr>
          <w:rFonts w:ascii="黑体" w:hAnsi="黑体" w:eastAsia="黑体" w:cs="黑体"/>
          <w:color w:val="auto"/>
          <w:sz w:val="32"/>
          <w:szCs w:val="32"/>
        </w:rPr>
        <w:t>第</w:t>
      </w:r>
      <w:r>
        <w:rPr>
          <w:rFonts w:hint="eastAsia" w:ascii="黑体" w:hAnsi="黑体" w:eastAsia="黑体" w:cs="黑体"/>
          <w:color w:val="auto"/>
          <w:sz w:val="32"/>
          <w:szCs w:val="32"/>
        </w:rPr>
        <w:t>二</w:t>
      </w:r>
      <w:r>
        <w:rPr>
          <w:rFonts w:ascii="黑体" w:hAnsi="黑体" w:eastAsia="黑体" w:cs="黑体"/>
          <w:color w:val="auto"/>
          <w:sz w:val="32"/>
          <w:szCs w:val="32"/>
        </w:rPr>
        <w:t>十</w:t>
      </w:r>
      <w:r>
        <w:rPr>
          <w:rFonts w:hint="eastAsia" w:ascii="黑体" w:hAnsi="黑体" w:eastAsia="黑体" w:cs="黑体"/>
          <w:color w:val="auto"/>
          <w:sz w:val="32"/>
          <w:szCs w:val="32"/>
        </w:rPr>
        <w:t>七</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市场主体可以按</w:t>
      </w:r>
      <w:r>
        <w:rPr>
          <w:rFonts w:hint="eastAsia" w:ascii="Times New Roman" w:hAnsi="Times New Roman" w:eastAsia="仿宋_GB2312" w:cs="Times New Roman"/>
          <w:color w:val="auto"/>
          <w:sz w:val="32"/>
          <w:szCs w:val="32"/>
          <w:lang w:eastAsia="zh-CN"/>
        </w:rPr>
        <w:t>《失信行为纠正后的信用信息修复管理办法（试行）》</w:t>
      </w:r>
      <w:r>
        <w:rPr>
          <w:rFonts w:ascii="Times New Roman" w:hAnsi="Times New Roman" w:eastAsia="仿宋_GB2312" w:cs="Times New Roman"/>
          <w:color w:val="auto"/>
          <w:sz w:val="32"/>
          <w:szCs w:val="32"/>
        </w:rPr>
        <w:t>规定的条件、要求和程序</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申请修复由有关行业主管（监管）部门认定的失信信息，包括</w:t>
      </w:r>
      <w:r>
        <w:rPr>
          <w:rFonts w:hint="default" w:ascii="仿宋_GB2312" w:hAnsi="仿宋_GB2312" w:eastAsia="仿宋_GB2312" w:cs="仿宋_GB2312"/>
          <w:sz w:val="32"/>
          <w:szCs w:val="32"/>
          <w:lang w:val="en-US" w:eastAsia="zh-CN"/>
        </w:rPr>
        <w:t>严重失信主体名单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行政处罚信息和其他失信信息</w:t>
      </w:r>
      <w:r>
        <w:rPr>
          <w:rFonts w:hint="eastAsia" w:ascii="仿宋_GB2312" w:hAnsi="仿宋_GB2312" w:eastAsia="仿宋_GB2312" w:cs="仿宋_GB2312"/>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市场主体</w:t>
      </w:r>
      <w:r>
        <w:rPr>
          <w:rFonts w:hint="eastAsia" w:ascii="Times New Roman" w:hAnsi="Times New Roman" w:eastAsia="仿宋_GB2312" w:cs="Times New Roman"/>
          <w:color w:val="auto"/>
          <w:sz w:val="32"/>
          <w:szCs w:val="32"/>
        </w:rPr>
        <w:t>可以</w:t>
      </w:r>
      <w:r>
        <w:rPr>
          <w:rFonts w:ascii="Times New Roman" w:hAnsi="Times New Roman" w:eastAsia="仿宋_GB2312" w:cs="Times New Roman"/>
          <w:color w:val="auto"/>
          <w:sz w:val="32"/>
          <w:szCs w:val="32"/>
        </w:rPr>
        <w:t>按《市场监督管理信用修复管理办法》规定的条件、要求和程序</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申请</w:t>
      </w:r>
      <w:r>
        <w:rPr>
          <w:rFonts w:hint="eastAsia" w:ascii="Times New Roman" w:hAnsi="Times New Roman" w:eastAsia="仿宋_GB2312" w:cs="Times New Roman"/>
          <w:color w:val="auto"/>
          <w:sz w:val="32"/>
          <w:szCs w:val="32"/>
          <w:lang w:val="en-US" w:eastAsia="zh-CN"/>
        </w:rPr>
        <w:t>修复由市场监督管理部门认定的失信信息，包括</w:t>
      </w:r>
      <w:r>
        <w:rPr>
          <w:rFonts w:ascii="Times New Roman" w:hAnsi="Times New Roman" w:eastAsia="仿宋_GB2312" w:cs="Times New Roman"/>
          <w:color w:val="auto"/>
          <w:sz w:val="32"/>
          <w:szCs w:val="32"/>
        </w:rPr>
        <w:t>经营异常名录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经营异常状态</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、行政处罚信息、严重失信</w:t>
      </w:r>
      <w:r>
        <w:rPr>
          <w:rFonts w:hint="eastAsia" w:ascii="Times New Roman" w:hAnsi="Times New Roman" w:eastAsia="仿宋_GB2312" w:cs="Times New Roman"/>
          <w:color w:val="auto"/>
          <w:sz w:val="32"/>
          <w:szCs w:val="32"/>
          <w:lang w:val="en-US" w:eastAsia="zh-CN"/>
        </w:rPr>
        <w:t>主体</w:t>
      </w:r>
      <w:r>
        <w:rPr>
          <w:rFonts w:ascii="Times New Roman" w:hAnsi="Times New Roman" w:eastAsia="仿宋_GB2312" w:cs="Times New Roman"/>
          <w:color w:val="auto"/>
          <w:sz w:val="32"/>
          <w:szCs w:val="32"/>
        </w:rPr>
        <w:t>名单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其他失信信息</w:t>
      </w:r>
      <w:r>
        <w:rPr>
          <w:rFonts w:hint="eastAsia" w:ascii="Times New Roman" w:hAnsi="Times New Roman" w:eastAsia="仿宋_GB2312" w:cs="Times New Roman"/>
          <w:color w:val="auto"/>
          <w:sz w:val="32"/>
          <w:szCs w:val="32"/>
        </w:rPr>
        <w:t>；可以</w:t>
      </w:r>
      <w:r>
        <w:rPr>
          <w:rFonts w:ascii="Times New Roman" w:hAnsi="Times New Roman" w:eastAsia="仿宋_GB2312" w:cs="Times New Roman"/>
          <w:color w:val="auto"/>
          <w:sz w:val="32"/>
          <w:szCs w:val="32"/>
        </w:rPr>
        <w:t>按《安徽省市场监督管理信用修复管理暂行办法》的规定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申请</w:t>
      </w:r>
      <w:r>
        <w:rPr>
          <w:rFonts w:hint="eastAsia" w:ascii="Times New Roman" w:hAnsi="Times New Roman" w:eastAsia="仿宋_GB2312" w:cs="Times New Roman"/>
          <w:color w:val="auto"/>
          <w:sz w:val="32"/>
          <w:szCs w:val="32"/>
          <w:lang w:val="en-US" w:eastAsia="zh-CN"/>
        </w:rPr>
        <w:t>修复</w:t>
      </w:r>
      <w:r>
        <w:rPr>
          <w:rFonts w:ascii="Times New Roman" w:hAnsi="Times New Roman" w:eastAsia="仿宋_GB2312" w:cs="Times New Roman"/>
          <w:color w:val="auto"/>
          <w:sz w:val="32"/>
          <w:szCs w:val="32"/>
        </w:rPr>
        <w:t>严重违法失信企业名单、公示不实承诺信息和抽查有关结果信息。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黑体"/>
          <w:color w:val="auto"/>
          <w:sz w:val="32"/>
          <w:szCs w:val="32"/>
        </w:rPr>
        <w:t>第二十八条</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市场主体应</w:t>
      </w:r>
      <w:r>
        <w:rPr>
          <w:rFonts w:hint="eastAsia" w:ascii="Times New Roman" w:hAnsi="Times New Roman" w:eastAsia="仿宋_GB2312" w:cs="Times New Roman"/>
          <w:color w:val="auto"/>
          <w:sz w:val="32"/>
          <w:szCs w:val="32"/>
        </w:rPr>
        <w:t>当按</w:t>
      </w:r>
      <w:r>
        <w:rPr>
          <w:rFonts w:hint="eastAsia" w:ascii="Times New Roman" w:hAnsi="Times New Roman" w:eastAsia="仿宋_GB2312" w:cs="Times New Roman"/>
          <w:color w:val="auto"/>
          <w:sz w:val="32"/>
          <w:szCs w:val="32"/>
          <w:lang w:eastAsia="zh-CN"/>
        </w:rPr>
        <w:t>《失信行为纠正后的信用信息修复管理办法（试行）》</w:t>
      </w:r>
      <w:r>
        <w:rPr>
          <w:rFonts w:hint="eastAsia" w:ascii="Times New Roman" w:hAnsi="Times New Roman" w:eastAsia="仿宋_GB2312" w:cs="Times New Roman"/>
          <w:color w:val="auto"/>
          <w:sz w:val="32"/>
          <w:szCs w:val="32"/>
          <w:lang w:val="en-US" w:eastAsia="zh-CN"/>
        </w:rPr>
        <w:t>第十九条之规定或</w:t>
      </w:r>
      <w:r>
        <w:rPr>
          <w:rFonts w:ascii="Times New Roman" w:hAnsi="Times New Roman" w:eastAsia="仿宋_GB2312" w:cs="Times New Roman"/>
          <w:color w:val="auto"/>
          <w:sz w:val="32"/>
          <w:szCs w:val="32"/>
        </w:rPr>
        <w:t>《市场监督管理信用修复管理办法》</w:t>
      </w:r>
      <w:r>
        <w:rPr>
          <w:rFonts w:hint="eastAsia" w:ascii="Times New Roman" w:hAnsi="Times New Roman" w:eastAsia="仿宋_GB2312" w:cs="Times New Roman"/>
          <w:color w:val="auto"/>
          <w:sz w:val="32"/>
          <w:szCs w:val="32"/>
        </w:rPr>
        <w:t>第八条之规定</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提交</w:t>
      </w:r>
      <w:r>
        <w:rPr>
          <w:rFonts w:hint="eastAsia" w:ascii="Times New Roman" w:hAnsi="Times New Roman" w:eastAsia="仿宋_GB2312" w:cs="Times New Roman"/>
          <w:color w:val="auto"/>
          <w:sz w:val="32"/>
          <w:szCs w:val="32"/>
        </w:rPr>
        <w:t>相关</w:t>
      </w:r>
      <w:r>
        <w:rPr>
          <w:rFonts w:ascii="Times New Roman" w:hAnsi="Times New Roman" w:eastAsia="仿宋_GB2312" w:cs="Times New Roman"/>
          <w:color w:val="auto"/>
          <w:sz w:val="32"/>
          <w:szCs w:val="32"/>
        </w:rPr>
        <w:t>材料</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申请信用</w:t>
      </w:r>
      <w:r>
        <w:rPr>
          <w:rFonts w:hint="eastAsia" w:ascii="Times New Roman" w:hAnsi="Times New Roman" w:eastAsia="仿宋_GB2312" w:cs="Times New Roman"/>
          <w:color w:val="auto"/>
          <w:sz w:val="32"/>
          <w:szCs w:val="32"/>
        </w:rPr>
        <w:t>信息</w:t>
      </w:r>
      <w:r>
        <w:rPr>
          <w:rFonts w:ascii="Times New Roman" w:hAnsi="Times New Roman" w:eastAsia="仿宋_GB2312" w:cs="Times New Roman"/>
          <w:color w:val="auto"/>
          <w:sz w:val="32"/>
          <w:szCs w:val="32"/>
        </w:rPr>
        <w:t>修复</w:t>
      </w:r>
      <w:r>
        <w:rPr>
          <w:rFonts w:hint="eastAsia"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left="15" w:leftChars="5" w:firstLine="617" w:firstLineChars="195"/>
        <w:jc w:val="both"/>
        <w:textAlignment w:val="auto"/>
        <w:rPr>
          <w:rFonts w:hint="default" w:ascii="Times New Roman" w:hAnsi="Times New Roman" w:eastAsia="仿宋_GB2312" w:cs="Times New Roman"/>
          <w:color w:val="auto"/>
          <w:sz w:val="32"/>
          <w:szCs w:val="32"/>
          <w:lang w:val="en-US" w:eastAsia="zh-CN"/>
        </w:rPr>
      </w:pPr>
      <w:r>
        <w:rPr>
          <w:rFonts w:ascii="黑体" w:hAnsi="黑体" w:eastAsia="黑体" w:cs="黑体"/>
          <w:color w:val="auto"/>
          <w:sz w:val="32"/>
          <w:szCs w:val="32"/>
        </w:rPr>
        <w:t>第</w:t>
      </w:r>
      <w:r>
        <w:rPr>
          <w:rFonts w:hint="eastAsia" w:ascii="黑体" w:hAnsi="黑体" w:eastAsia="黑体" w:cs="黑体"/>
          <w:color w:val="auto"/>
          <w:sz w:val="32"/>
          <w:szCs w:val="32"/>
        </w:rPr>
        <w:t>二</w:t>
      </w:r>
      <w:r>
        <w:rPr>
          <w:rFonts w:ascii="黑体" w:hAnsi="黑体" w:eastAsia="黑体" w:cs="黑体"/>
          <w:color w:val="auto"/>
          <w:sz w:val="32"/>
          <w:szCs w:val="32"/>
        </w:rPr>
        <w:t>十</w:t>
      </w:r>
      <w:r>
        <w:rPr>
          <w:rFonts w:hint="eastAsia" w:ascii="黑体" w:hAnsi="黑体" w:eastAsia="黑体" w:cs="黑体"/>
          <w:color w:val="auto"/>
          <w:sz w:val="32"/>
          <w:szCs w:val="32"/>
        </w:rPr>
        <w:t>九</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由有关行业主管（监管）部门作出的行政处罚信息的市场主体，</w:t>
      </w:r>
      <w:r>
        <w:rPr>
          <w:rFonts w:hint="eastAsia" w:ascii="Times New Roman" w:hAnsi="Times New Roman" w:eastAsia="仿宋_GB2312" w:cs="Times New Roman"/>
          <w:color w:val="auto"/>
          <w:sz w:val="32"/>
          <w:szCs w:val="32"/>
        </w:rPr>
        <w:t>可</w:t>
      </w:r>
      <w:r>
        <w:rPr>
          <w:rFonts w:hint="eastAsia" w:ascii="Times New Roman" w:hAnsi="Times New Roman" w:eastAsia="仿宋_GB2312" w:cs="Times New Roman"/>
          <w:color w:val="auto"/>
          <w:sz w:val="32"/>
          <w:szCs w:val="32"/>
          <w:lang w:val="en-US" w:eastAsia="zh-CN"/>
        </w:rPr>
        <w:t>以</w:t>
      </w:r>
      <w:r>
        <w:rPr>
          <w:rFonts w:hint="eastAsia" w:ascii="Times New Roman" w:hAnsi="Times New Roman" w:eastAsia="仿宋_GB2312" w:cs="Times New Roman"/>
          <w:color w:val="auto"/>
          <w:sz w:val="32"/>
          <w:szCs w:val="32"/>
        </w:rPr>
        <w:t>登录“信用中国”网站</w:t>
      </w:r>
      <w:r>
        <w:rPr>
          <w:rFonts w:hint="default" w:ascii="Times New Roman" w:hAnsi="Times New Roman" w:eastAsia="仿宋_GB2312" w:cs="Times New Roman"/>
          <w:color w:val="auto"/>
          <w:sz w:val="32"/>
          <w:szCs w:val="32"/>
        </w:rPr>
        <w:t>申请</w:t>
      </w:r>
      <w:r>
        <w:rPr>
          <w:rFonts w:ascii="仿宋_GB2312" w:hAnsi="仿宋_GB2312" w:eastAsia="仿宋_GB2312" w:cs="仿宋_GB2312"/>
          <w:color w:val="auto"/>
          <w:sz w:val="32"/>
          <w:szCs w:val="32"/>
        </w:rPr>
        <w:t>信用修复</w:t>
      </w:r>
      <w:r>
        <w:rPr>
          <w:rFonts w:hint="eastAsia" w:ascii="Times New Roman" w:hAnsi="Times New Roman" w:eastAsia="仿宋_GB2312" w:cs="Times New Roman"/>
          <w:color w:val="auto"/>
          <w:sz w:val="32"/>
          <w:szCs w:val="32"/>
          <w:lang w:val="en-US" w:eastAsia="zh-CN"/>
        </w:rPr>
        <w:t>；由有关行业主管（监管）部门认定的</w:t>
      </w:r>
      <w:r>
        <w:rPr>
          <w:rFonts w:hint="default" w:ascii="仿宋_GB2312" w:hAnsi="仿宋_GB2312" w:eastAsia="仿宋_GB2312" w:cs="仿宋_GB2312"/>
          <w:sz w:val="32"/>
          <w:szCs w:val="32"/>
          <w:lang w:val="en-US" w:eastAsia="zh-CN"/>
        </w:rPr>
        <w:t>严重失信主体名单</w:t>
      </w:r>
      <w:r>
        <w:rPr>
          <w:rFonts w:hint="eastAsia" w:ascii="仿宋_GB2312" w:hAnsi="仿宋_GB2312" w:eastAsia="仿宋_GB2312" w:cs="仿宋_GB2312"/>
          <w:sz w:val="32"/>
          <w:szCs w:val="32"/>
          <w:lang w:val="en-US" w:eastAsia="zh-CN"/>
        </w:rPr>
        <w:t>信息的市场主体，可向认定单位申请信用修复。</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由市场监督管理部门认定的失信信息的市场主体，</w:t>
      </w:r>
      <w:r>
        <w:rPr>
          <w:rFonts w:ascii="Times New Roman" w:hAnsi="Times New Roman" w:eastAsia="仿宋_GB2312" w:cs="Times New Roman"/>
          <w:color w:val="auto"/>
          <w:sz w:val="32"/>
          <w:szCs w:val="32"/>
        </w:rPr>
        <w:t>可以</w:t>
      </w:r>
      <w:r>
        <w:rPr>
          <w:rFonts w:hint="eastAsia" w:ascii="Times New Roman" w:hAnsi="Times New Roman" w:eastAsia="仿宋_GB2312" w:cs="Times New Roman"/>
          <w:color w:val="auto"/>
          <w:sz w:val="32"/>
          <w:szCs w:val="32"/>
          <w:lang w:val="en-US" w:eastAsia="zh-CN"/>
        </w:rPr>
        <w:t>向</w:t>
      </w:r>
      <w:r>
        <w:rPr>
          <w:rFonts w:ascii="Times New Roman" w:hAnsi="Times New Roman" w:eastAsia="仿宋_GB2312" w:cs="Times New Roman"/>
          <w:color w:val="auto"/>
          <w:sz w:val="32"/>
          <w:szCs w:val="32"/>
        </w:rPr>
        <w:t>登记地的市场监督管理部门，或者通过国家企业信用信息公示系统向市场监督管理部门</w:t>
      </w:r>
      <w:r>
        <w:rPr>
          <w:rFonts w:hint="eastAsia" w:ascii="Times New Roman" w:hAnsi="Times New Roman" w:eastAsia="仿宋_GB2312" w:cs="Times New Roman"/>
          <w:color w:val="auto"/>
          <w:sz w:val="32"/>
          <w:szCs w:val="32"/>
          <w:lang w:val="en-US" w:eastAsia="zh-CN"/>
        </w:rPr>
        <w:t>申请信用修复</w:t>
      </w:r>
      <w:r>
        <w:rPr>
          <w:rFonts w:hint="eastAsia" w:ascii="Times New Roman" w:hAnsi="Times New Roman" w:eastAsia="仿宋_GB2312" w:cs="Times New Roman"/>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center"/>
        <w:textAlignment w:val="auto"/>
        <w:rPr>
          <w:rFonts w:ascii="Times New Roman" w:hAnsi="Times New Roman" w:eastAsia="黑体"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center"/>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第五章 </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信用文化建设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rPr>
        <w:t>三</w:t>
      </w:r>
      <w:r>
        <w:rPr>
          <w:rFonts w:ascii="黑体" w:hAnsi="黑体" w:eastAsia="黑体" w:cs="黑体"/>
          <w:color w:val="auto"/>
          <w:sz w:val="32"/>
          <w:szCs w:val="32"/>
        </w:rPr>
        <w:t>十条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市场主体将</w:t>
      </w:r>
      <w:r>
        <w:rPr>
          <w:rFonts w:hint="eastAsia" w:ascii="Times New Roman" w:hAnsi="Times New Roman" w:eastAsia="仿宋_GB2312" w:cs="Times New Roman"/>
          <w:color w:val="auto"/>
          <w:sz w:val="32"/>
          <w:szCs w:val="32"/>
          <w:lang w:val="en-US" w:eastAsia="zh-CN"/>
        </w:rPr>
        <w:t>诚实</w:t>
      </w:r>
      <w:r>
        <w:rPr>
          <w:rFonts w:ascii="Times New Roman" w:hAnsi="Times New Roman" w:eastAsia="仿宋_GB2312" w:cs="Times New Roman"/>
          <w:color w:val="auto"/>
          <w:sz w:val="32"/>
          <w:szCs w:val="32"/>
        </w:rPr>
        <w:t>守信理念融入到企业经营中，构建诚信文化并贯穿于企业文化建设的始终，确立信用至上理念。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hint="eastAsia" w:ascii="黑体" w:hAnsi="黑体" w:eastAsia="黑体" w:cs="黑体"/>
          <w:color w:val="auto"/>
          <w:sz w:val="32"/>
          <w:szCs w:val="32"/>
        </w:rPr>
        <w:t xml:space="preserve">第三十一条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市场主体加强信用合规宣传教育，培养全员守法诚信、合规经营意识，</w:t>
      </w:r>
      <w:r>
        <w:rPr>
          <w:rFonts w:hint="eastAsia" w:ascii="Times New Roman" w:hAnsi="Times New Roman" w:eastAsia="仿宋_GB2312" w:cs="Times New Roman"/>
          <w:color w:val="auto"/>
          <w:sz w:val="32"/>
          <w:szCs w:val="32"/>
        </w:rPr>
        <w:t>引导员工诚实守信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制定员工信用准则，建立员工守信激励制度。</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第三十</w:t>
      </w:r>
      <w:r>
        <w:rPr>
          <w:rFonts w:hint="eastAsia" w:ascii="黑体" w:hAnsi="黑体" w:eastAsia="黑体" w:cs="黑体"/>
          <w:color w:val="auto"/>
          <w:sz w:val="32"/>
          <w:szCs w:val="32"/>
        </w:rPr>
        <w:t>二</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市场主体建立常态化信用合规培</w:t>
      </w:r>
      <w:r>
        <w:rPr>
          <w:rFonts w:hint="eastAsia" w:ascii="Times New Roman" w:hAnsi="Times New Roman" w:eastAsia="仿宋_GB2312" w:cs="Times New Roman"/>
          <w:color w:val="auto"/>
          <w:sz w:val="32"/>
          <w:szCs w:val="32"/>
          <w:lang w:val="en-US" w:eastAsia="zh-CN"/>
        </w:rPr>
        <w:t>育</w:t>
      </w:r>
      <w:r>
        <w:rPr>
          <w:rFonts w:ascii="Times New Roman" w:hAnsi="Times New Roman" w:eastAsia="仿宋_GB2312" w:cs="Times New Roman"/>
          <w:color w:val="auto"/>
          <w:sz w:val="32"/>
          <w:szCs w:val="32"/>
        </w:rPr>
        <w:t>机制，制定年度培训计划，</w:t>
      </w:r>
      <w:r>
        <w:rPr>
          <w:rFonts w:hint="eastAsia" w:ascii="Times New Roman" w:hAnsi="Times New Roman" w:eastAsia="仿宋_GB2312" w:cs="Times New Roman"/>
          <w:color w:val="auto"/>
          <w:sz w:val="32"/>
          <w:szCs w:val="32"/>
        </w:rPr>
        <w:t>加强信用专业人员培养，</w:t>
      </w:r>
      <w:r>
        <w:rPr>
          <w:rFonts w:ascii="Times New Roman" w:hAnsi="Times New Roman" w:eastAsia="仿宋_GB2312" w:cs="Times New Roman"/>
          <w:color w:val="auto"/>
          <w:sz w:val="32"/>
          <w:szCs w:val="32"/>
        </w:rPr>
        <w:t>将信用合规管理作为管理人员、重点岗位人员和新入职人员必修内容，</w:t>
      </w:r>
      <w:r>
        <w:rPr>
          <w:rFonts w:hint="eastAsia" w:ascii="Times New Roman" w:hAnsi="Times New Roman" w:eastAsia="仿宋_GB2312" w:cs="Times New Roman"/>
          <w:color w:val="auto"/>
          <w:sz w:val="32"/>
          <w:szCs w:val="32"/>
        </w:rPr>
        <w:t>培养信用合规管理专业化队伍。</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第三十</w:t>
      </w:r>
      <w:r>
        <w:rPr>
          <w:rFonts w:hint="eastAsia" w:ascii="黑体" w:hAnsi="黑体" w:eastAsia="黑体" w:cs="黑体"/>
          <w:color w:val="auto"/>
          <w:sz w:val="32"/>
          <w:szCs w:val="32"/>
        </w:rPr>
        <w:t>三</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鼓励</w:t>
      </w:r>
      <w:r>
        <w:rPr>
          <w:rFonts w:ascii="Times New Roman" w:hAnsi="Times New Roman" w:eastAsia="仿宋_GB2312" w:cs="Times New Roman"/>
          <w:color w:val="auto"/>
          <w:sz w:val="32"/>
          <w:szCs w:val="32"/>
        </w:rPr>
        <w:t>市场主体倡导和培育良好的信用合规文化，</w:t>
      </w:r>
      <w:r>
        <w:rPr>
          <w:rFonts w:hint="eastAsia" w:ascii="Times New Roman" w:hAnsi="Times New Roman" w:eastAsia="仿宋_GB2312" w:cs="Times New Roman"/>
          <w:color w:val="auto"/>
          <w:sz w:val="32"/>
          <w:szCs w:val="32"/>
        </w:rPr>
        <w:t>充分发挥电视、广播、网络等媒体的宣传引导作用，树立守信典范，营造守信的良好氛围。</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jc w:val="center"/>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第六章 </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附则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hint="eastAsia" w:ascii="Times New Roman" w:hAnsi="Times New Roman" w:eastAsia="仿宋_GB2312" w:cs="Times New Roman"/>
          <w:color w:val="auto"/>
          <w:sz w:val="32"/>
          <w:szCs w:val="32"/>
        </w:rPr>
      </w:pPr>
      <w:r>
        <w:rPr>
          <w:rFonts w:ascii="黑体" w:hAnsi="黑体" w:eastAsia="黑体" w:cs="黑体"/>
          <w:color w:val="auto"/>
          <w:sz w:val="32"/>
          <w:szCs w:val="32"/>
        </w:rPr>
        <w:t>第三十</w:t>
      </w:r>
      <w:r>
        <w:rPr>
          <w:rFonts w:hint="eastAsia" w:ascii="黑体" w:hAnsi="黑体" w:eastAsia="黑体" w:cs="黑体"/>
          <w:color w:val="auto"/>
          <w:sz w:val="32"/>
          <w:szCs w:val="32"/>
        </w:rPr>
        <w:t>四</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本指引</w:t>
      </w:r>
      <w:r>
        <w:rPr>
          <w:rFonts w:hint="eastAsia" w:ascii="Times New Roman" w:hAnsi="Times New Roman" w:eastAsia="仿宋_GB2312" w:cs="Times New Roman"/>
          <w:color w:val="auto"/>
          <w:sz w:val="32"/>
          <w:szCs w:val="32"/>
        </w:rPr>
        <w:t>及附件内容</w:t>
      </w:r>
      <w:r>
        <w:rPr>
          <w:rFonts w:hint="eastAsia" w:ascii="Times New Roman" w:hAnsi="Times New Roman" w:eastAsia="仿宋_GB2312" w:cs="Times New Roman"/>
          <w:color w:val="auto"/>
          <w:sz w:val="32"/>
          <w:szCs w:val="32"/>
          <w:lang w:val="en-US" w:eastAsia="zh-CN"/>
        </w:rPr>
        <w:t>是</w:t>
      </w:r>
      <w:r>
        <w:rPr>
          <w:rFonts w:hint="eastAsia" w:ascii="Times New Roman" w:hAnsi="Times New Roman" w:eastAsia="仿宋_GB2312" w:cs="Times New Roman"/>
          <w:color w:val="auto"/>
          <w:sz w:val="32"/>
          <w:szCs w:val="32"/>
        </w:rPr>
        <w:t>对市场主体信用合规</w:t>
      </w:r>
      <w:r>
        <w:rPr>
          <w:rFonts w:hint="eastAsia" w:ascii="Times New Roman" w:hAnsi="Times New Roman" w:eastAsia="仿宋_GB2312" w:cs="Times New Roman"/>
          <w:color w:val="auto"/>
          <w:sz w:val="32"/>
          <w:szCs w:val="32"/>
          <w:lang w:val="en-US" w:eastAsia="zh-CN"/>
        </w:rPr>
        <w:t>建设</w:t>
      </w:r>
      <w:r>
        <w:rPr>
          <w:rFonts w:hint="eastAsia" w:ascii="Times New Roman" w:hAnsi="Times New Roman" w:eastAsia="仿宋_GB2312" w:cs="Times New Roman"/>
          <w:color w:val="auto"/>
          <w:sz w:val="32"/>
          <w:szCs w:val="32"/>
        </w:rPr>
        <w:t>作出一般性指引，供市场主体参考。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第三十</w:t>
      </w:r>
      <w:r>
        <w:rPr>
          <w:rFonts w:hint="eastAsia" w:ascii="黑体" w:hAnsi="黑体" w:eastAsia="黑体" w:cs="黑体"/>
          <w:color w:val="auto"/>
          <w:sz w:val="32"/>
          <w:szCs w:val="32"/>
        </w:rPr>
        <w:t>五</w:t>
      </w:r>
      <w:r>
        <w:rPr>
          <w:rFonts w:ascii="黑体" w:hAnsi="黑体" w:eastAsia="黑体" w:cs="黑体"/>
          <w:color w:val="auto"/>
          <w:sz w:val="32"/>
          <w:szCs w:val="32"/>
        </w:rPr>
        <w:t>条</w:t>
      </w:r>
      <w:r>
        <w:rPr>
          <w:rFonts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auto"/>
          <w:sz w:val="32"/>
          <w:szCs w:val="32"/>
        </w:rPr>
        <w:t>本指引未涉及事项，</w:t>
      </w:r>
      <w:r>
        <w:rPr>
          <w:rFonts w:hint="eastAsia" w:ascii="Times New Roman" w:hAnsi="Times New Roman" w:eastAsia="仿宋_GB2312" w:cs="Times New Roman"/>
          <w:color w:val="auto"/>
          <w:sz w:val="32"/>
          <w:szCs w:val="32"/>
          <w:lang w:val="en-US" w:eastAsia="zh-CN"/>
        </w:rPr>
        <w:t>应当</w:t>
      </w:r>
      <w:r>
        <w:rPr>
          <w:rFonts w:hint="eastAsia" w:ascii="Times New Roman" w:hAnsi="Times New Roman" w:eastAsia="仿宋_GB2312" w:cs="Times New Roman"/>
          <w:color w:val="auto"/>
          <w:sz w:val="32"/>
          <w:szCs w:val="32"/>
        </w:rPr>
        <w:t>遵照相关法律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法规</w:t>
      </w:r>
      <w:r>
        <w:rPr>
          <w:rFonts w:hint="eastAsia" w:ascii="Times New Roman" w:hAnsi="Times New Roman" w:eastAsia="仿宋_GB2312" w:cs="Times New Roman"/>
          <w:color w:val="auto"/>
          <w:sz w:val="32"/>
          <w:szCs w:val="32"/>
          <w:lang w:val="en-US" w:eastAsia="zh-CN"/>
        </w:rPr>
        <w:t>及相关规定</w:t>
      </w:r>
      <w:r>
        <w:rPr>
          <w:rFonts w:hint="eastAsia" w:ascii="Times New Roman" w:hAnsi="Times New Roman" w:eastAsia="仿宋_GB2312" w:cs="Times New Roman"/>
          <w:color w:val="auto"/>
          <w:sz w:val="32"/>
          <w:szCs w:val="32"/>
        </w:rPr>
        <w:t>实施。</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exact"/>
        <w:ind w:firstLine="632" w:firstLineChars="200"/>
        <w:jc w:val="both"/>
        <w:textAlignment w:val="auto"/>
        <w:rPr>
          <w:rFonts w:ascii="Times New Roman" w:hAnsi="Times New Roman" w:eastAsia="仿宋_GB2312" w:cs="Times New Roman"/>
          <w:color w:val="auto"/>
          <w:sz w:val="32"/>
          <w:szCs w:val="32"/>
        </w:rPr>
      </w:pPr>
      <w:r>
        <w:rPr>
          <w:rFonts w:ascii="黑体" w:hAnsi="黑体" w:eastAsia="黑体" w:cs="黑体"/>
          <w:color w:val="auto"/>
          <w:sz w:val="32"/>
          <w:szCs w:val="32"/>
        </w:rPr>
        <w:t>第</w:t>
      </w:r>
      <w:r>
        <w:rPr>
          <w:rFonts w:hint="eastAsia" w:ascii="黑体" w:hAnsi="黑体" w:eastAsia="黑体" w:cs="黑体"/>
          <w:color w:val="auto"/>
          <w:sz w:val="32"/>
          <w:szCs w:val="32"/>
        </w:rPr>
        <w:t>三</w:t>
      </w:r>
      <w:r>
        <w:rPr>
          <w:rFonts w:ascii="黑体" w:hAnsi="黑体" w:eastAsia="黑体" w:cs="黑体"/>
          <w:color w:val="auto"/>
          <w:sz w:val="32"/>
          <w:szCs w:val="32"/>
        </w:rPr>
        <w:t>十</w:t>
      </w:r>
      <w:r>
        <w:rPr>
          <w:rFonts w:hint="eastAsia" w:ascii="黑体" w:hAnsi="黑体" w:eastAsia="黑体" w:cs="黑体"/>
          <w:color w:val="auto"/>
          <w:sz w:val="32"/>
          <w:szCs w:val="32"/>
        </w:rPr>
        <w:t>六</w:t>
      </w:r>
      <w:r>
        <w:rPr>
          <w:rFonts w:ascii="黑体" w:hAnsi="黑体" w:eastAsia="黑体" w:cs="黑体"/>
          <w:color w:val="auto"/>
          <w:sz w:val="32"/>
          <w:szCs w:val="32"/>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本指引自发布之日起实施。</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附件：1.企业信用合规标准体系指引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      2.企业信用合规标准体系评价指引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left="1896" w:leftChars="500" w:hanging="316" w:hangingChars="1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3.大中型企业信用合规内控管理机制指引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1580" w:firstLineChars="5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4.大中型企业</w:t>
      </w:r>
      <w:r>
        <w:rPr>
          <w:rFonts w:hint="default" w:ascii="Times New Roman" w:hAnsi="Times New Roman" w:eastAsia="仿宋_GB2312" w:cs="Times New Roman"/>
          <w:color w:val="auto"/>
          <w:sz w:val="32"/>
          <w:szCs w:val="32"/>
        </w:rPr>
        <w:t>信用违规风险</w:t>
      </w:r>
      <w:r>
        <w:rPr>
          <w:rFonts w:hint="eastAsia" w:ascii="Times New Roman" w:hAnsi="Times New Roman" w:eastAsia="仿宋_GB2312" w:cs="Times New Roman"/>
          <w:color w:val="auto"/>
          <w:sz w:val="32"/>
          <w:szCs w:val="32"/>
        </w:rPr>
        <w:t>响应机制指引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left="1896" w:leftChars="500" w:hanging="316" w:hangingChars="1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5.市场监管领域市场主体“高频”违法信用合规指引清单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Times New Roman" w:hAnsi="Times New Roman" w:eastAsia="仿宋_GB2312" w:cs="Times New Roman"/>
          <w:color w:val="auto"/>
          <w:sz w:val="32"/>
          <w:szCs w:val="32"/>
        </w:rPr>
        <w:sectPr>
          <w:footerReference r:id="rId3" w:type="default"/>
          <w:pgSz w:w="11906" w:h="16838"/>
          <w:pgMar w:top="2098" w:right="1361" w:bottom="1985" w:left="1701" w:header="851" w:footer="1474" w:gutter="0"/>
          <w:cols w:space="425" w:num="1"/>
          <w:docGrid w:type="linesAndChars" w:linePitch="579" w:charSpace="-849"/>
        </w:sectPr>
      </w:pPr>
      <w:r>
        <w:rPr>
          <w:rFonts w:hint="eastAsia" w:ascii="Times New Roman" w:hAnsi="Times New Roman" w:eastAsia="仿宋_GB2312" w:cs="Times New Roman"/>
          <w:color w:val="auto"/>
          <w:sz w:val="32"/>
          <w:szCs w:val="32"/>
        </w:rPr>
        <w:t xml:space="preserve">  </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附件1</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企业信用合规标准体系指引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一、信用合规标准体系</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（一）企业和品牌具有社会影响力。</w:t>
      </w:r>
      <w:r>
        <w:rPr>
          <w:rFonts w:ascii="仿宋_GB2312" w:hAnsi="仿宋_GB2312" w:eastAsia="仿宋_GB2312" w:cs="仿宋_GB2312"/>
          <w:color w:val="auto"/>
          <w:sz w:val="32"/>
          <w:szCs w:val="32"/>
        </w:rPr>
        <w:t>产品（服务）的销售区域较广，企业管理水平较高、信息化程度高、知识产权保护意识强，企业规模及管理达到行业领先水平。</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（二）信用</w:t>
      </w:r>
      <w:r>
        <w:rPr>
          <w:rFonts w:hint="eastAsia" w:ascii="楷体_GB2312" w:hAnsi="楷体_GB2312" w:eastAsia="楷体_GB2312" w:cs="楷体_GB2312"/>
          <w:b/>
          <w:bCs/>
          <w:color w:val="auto"/>
          <w:sz w:val="32"/>
          <w:szCs w:val="32"/>
        </w:rPr>
        <w:t>合规</w:t>
      </w:r>
      <w:r>
        <w:rPr>
          <w:rFonts w:ascii="楷体_GB2312" w:hAnsi="楷体_GB2312" w:eastAsia="楷体_GB2312" w:cs="楷体_GB2312"/>
          <w:b/>
          <w:bCs/>
          <w:color w:val="auto"/>
          <w:sz w:val="32"/>
          <w:szCs w:val="32"/>
        </w:rPr>
        <w:t>管理体系健全。</w:t>
      </w:r>
      <w:r>
        <w:rPr>
          <w:rFonts w:ascii="仿宋_GB2312" w:hAnsi="仿宋_GB2312" w:eastAsia="仿宋_GB2312" w:cs="仿宋_GB2312"/>
          <w:color w:val="auto"/>
          <w:sz w:val="32"/>
          <w:szCs w:val="32"/>
        </w:rPr>
        <w:t>信用</w:t>
      </w:r>
      <w:r>
        <w:rPr>
          <w:rFonts w:hint="eastAsia" w:ascii="仿宋_GB2312" w:hAnsi="仿宋_GB2312" w:eastAsia="仿宋_GB2312" w:cs="仿宋_GB2312"/>
          <w:color w:val="auto"/>
          <w:sz w:val="32"/>
          <w:szCs w:val="32"/>
        </w:rPr>
        <w:t>合规</w:t>
      </w:r>
      <w:r>
        <w:rPr>
          <w:rFonts w:ascii="仿宋_GB2312" w:hAnsi="仿宋_GB2312" w:eastAsia="仿宋_GB2312" w:cs="仿宋_GB2312"/>
          <w:color w:val="auto"/>
          <w:sz w:val="32"/>
          <w:szCs w:val="32"/>
        </w:rPr>
        <w:t>管理制度完善，信用</w:t>
      </w:r>
      <w:r>
        <w:rPr>
          <w:rFonts w:hint="eastAsia" w:ascii="仿宋_GB2312" w:hAnsi="仿宋_GB2312" w:eastAsia="仿宋_GB2312" w:cs="仿宋_GB2312"/>
          <w:color w:val="auto"/>
          <w:sz w:val="32"/>
          <w:szCs w:val="32"/>
        </w:rPr>
        <w:t>合规</w:t>
      </w:r>
      <w:r>
        <w:rPr>
          <w:rFonts w:ascii="仿宋_GB2312" w:hAnsi="仿宋_GB2312" w:eastAsia="仿宋_GB2312" w:cs="仿宋_GB2312"/>
          <w:color w:val="auto"/>
          <w:sz w:val="32"/>
          <w:szCs w:val="32"/>
        </w:rPr>
        <w:t>管理机构健全，信用</w:t>
      </w:r>
      <w:r>
        <w:rPr>
          <w:rFonts w:hint="eastAsia" w:ascii="仿宋_GB2312" w:hAnsi="仿宋_GB2312" w:eastAsia="仿宋_GB2312" w:cs="仿宋_GB2312"/>
          <w:color w:val="auto"/>
          <w:sz w:val="32"/>
          <w:szCs w:val="32"/>
        </w:rPr>
        <w:t>合规</w:t>
      </w:r>
      <w:r>
        <w:rPr>
          <w:rFonts w:ascii="仿宋_GB2312" w:hAnsi="仿宋_GB2312" w:eastAsia="仿宋_GB2312" w:cs="仿宋_GB2312"/>
          <w:color w:val="auto"/>
          <w:sz w:val="32"/>
          <w:szCs w:val="32"/>
        </w:rPr>
        <w:t>管理机制落实</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（三）信用文化建设有声有色</w:t>
      </w:r>
      <w:r>
        <w:rPr>
          <w:rFonts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rPr>
        <w:t>信用合规文化教育落实，信用合规文化宣传到位。</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Times New Roman" w:hAnsi="Times New Roman" w:eastAsia="仿宋_GB2312" w:cs="Times New Roman"/>
          <w:color w:val="auto"/>
          <w:sz w:val="32"/>
          <w:szCs w:val="32"/>
        </w:rPr>
      </w:pP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四</w:t>
      </w:r>
      <w:r>
        <w:rPr>
          <w:rFonts w:ascii="楷体_GB2312" w:hAnsi="楷体_GB2312" w:eastAsia="楷体_GB2312" w:cs="楷体_GB2312"/>
          <w:b/>
          <w:bCs/>
          <w:color w:val="auto"/>
          <w:sz w:val="32"/>
          <w:szCs w:val="32"/>
        </w:rPr>
        <w:t>）履</w:t>
      </w:r>
      <w:r>
        <w:rPr>
          <w:rFonts w:hint="eastAsia" w:ascii="楷体_GB2312" w:hAnsi="楷体_GB2312" w:eastAsia="楷体_GB2312" w:cs="楷体_GB2312"/>
          <w:b/>
          <w:bCs/>
          <w:color w:val="auto"/>
          <w:sz w:val="32"/>
          <w:szCs w:val="32"/>
        </w:rPr>
        <w:t>行法定义务</w:t>
      </w:r>
      <w:r>
        <w:rPr>
          <w:rFonts w:ascii="楷体_GB2312" w:hAnsi="楷体_GB2312" w:eastAsia="楷体_GB2312" w:cs="楷体_GB2312"/>
          <w:b/>
          <w:bCs/>
          <w:color w:val="auto"/>
          <w:sz w:val="32"/>
          <w:szCs w:val="32"/>
        </w:rPr>
        <w:t>状况好。</w:t>
      </w:r>
      <w:r>
        <w:rPr>
          <w:rFonts w:hint="eastAsia" w:ascii="仿宋_GB2312" w:hAnsi="仿宋_GB2312" w:eastAsia="仿宋_GB2312" w:cs="仿宋_GB2312"/>
          <w:color w:val="auto"/>
          <w:sz w:val="32"/>
          <w:szCs w:val="32"/>
        </w:rPr>
        <w:t>企业</w:t>
      </w:r>
      <w:r>
        <w:rPr>
          <w:rFonts w:hint="eastAsia" w:ascii="Times New Roman" w:hAnsi="Times New Roman" w:eastAsia="仿宋_GB2312" w:cs="Times New Roman"/>
          <w:color w:val="auto"/>
          <w:sz w:val="32"/>
          <w:szCs w:val="32"/>
        </w:rPr>
        <w:t>许可和准入事项符合要求，对同一登记备案事项未频繁变更，按要求报送并公示年报信息及即时信息，按要求纳税、缴纳社保费和公积金等，股权冻结情况良好</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合同履约状况好</w:t>
      </w:r>
      <w:r>
        <w:rPr>
          <w:rFonts w:hint="eastAsia"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五</w:t>
      </w: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企业经营</w:t>
      </w:r>
      <w:r>
        <w:rPr>
          <w:rFonts w:ascii="楷体_GB2312" w:hAnsi="楷体_GB2312" w:eastAsia="楷体_GB2312" w:cs="楷体_GB2312"/>
          <w:b/>
          <w:bCs/>
          <w:color w:val="auto"/>
          <w:sz w:val="32"/>
          <w:szCs w:val="32"/>
        </w:rPr>
        <w:t>行为规范。</w:t>
      </w:r>
      <w:r>
        <w:rPr>
          <w:rFonts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rPr>
        <w:t>法律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法规及</w:t>
      </w:r>
      <w:r>
        <w:rPr>
          <w:rFonts w:hint="eastAsia" w:ascii="仿宋_GB2312" w:hAnsi="仿宋_GB2312" w:eastAsia="仿宋_GB2312" w:cs="仿宋_GB2312"/>
          <w:color w:val="auto"/>
          <w:sz w:val="32"/>
          <w:szCs w:val="32"/>
          <w:lang w:val="en-US" w:eastAsia="zh-CN"/>
        </w:rPr>
        <w:t>相关规定</w:t>
      </w:r>
      <w:r>
        <w:rPr>
          <w:rFonts w:hint="eastAsia" w:ascii="仿宋_GB2312" w:hAnsi="仿宋_GB2312" w:eastAsia="仿宋_GB2312" w:cs="仿宋_GB2312"/>
          <w:color w:val="auto"/>
          <w:sz w:val="32"/>
          <w:szCs w:val="32"/>
        </w:rPr>
        <w:t>按时</w:t>
      </w:r>
      <w:r>
        <w:rPr>
          <w:rFonts w:ascii="仿宋_GB2312" w:hAnsi="仿宋_GB2312" w:eastAsia="仿宋_GB2312" w:cs="仿宋_GB2312"/>
          <w:color w:val="auto"/>
          <w:sz w:val="32"/>
          <w:szCs w:val="32"/>
        </w:rPr>
        <w:t>履行</w:t>
      </w:r>
      <w:r>
        <w:rPr>
          <w:rFonts w:hint="eastAsia" w:ascii="仿宋_GB2312" w:hAnsi="仿宋_GB2312" w:eastAsia="仿宋_GB2312" w:cs="仿宋_GB2312"/>
          <w:color w:val="auto"/>
          <w:sz w:val="32"/>
          <w:szCs w:val="32"/>
        </w:rPr>
        <w:t>相关</w:t>
      </w:r>
      <w:r>
        <w:rPr>
          <w:rFonts w:ascii="仿宋_GB2312" w:hAnsi="仿宋_GB2312" w:eastAsia="仿宋_GB2312" w:cs="仿宋_GB2312"/>
          <w:color w:val="auto"/>
          <w:sz w:val="32"/>
          <w:szCs w:val="32"/>
        </w:rPr>
        <w:t>义务，无违</w:t>
      </w:r>
      <w:r>
        <w:rPr>
          <w:rFonts w:hint="eastAsia" w:ascii="仿宋_GB2312" w:hAnsi="仿宋_GB2312" w:eastAsia="仿宋_GB2312" w:cs="仿宋_GB2312"/>
          <w:color w:val="auto"/>
          <w:sz w:val="32"/>
          <w:szCs w:val="32"/>
        </w:rPr>
        <w:t>法违规</w:t>
      </w:r>
      <w:r>
        <w:rPr>
          <w:rFonts w:ascii="仿宋_GB2312" w:hAnsi="仿宋_GB2312" w:eastAsia="仿宋_GB2312" w:cs="仿宋_GB2312"/>
          <w:color w:val="auto"/>
          <w:sz w:val="32"/>
          <w:szCs w:val="32"/>
        </w:rPr>
        <w:t>行为</w:t>
      </w:r>
      <w:r>
        <w:rPr>
          <w:rFonts w:hint="eastAsia" w:ascii="仿宋_GB2312" w:hAnsi="仿宋_GB2312" w:eastAsia="仿宋_GB2312" w:cs="仿宋_GB2312"/>
          <w:color w:val="auto"/>
          <w:sz w:val="32"/>
          <w:szCs w:val="32"/>
        </w:rPr>
        <w:t>。企业未被列入经营异常名录和严重违法失信主体名单（黑名单），未被列入失信被执行人，未被业务主管部门行政处罚，在行政检查中未出现不配合检查情节严重、发现问题已责令改正、发现问题待后续处理等现象。</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六</w:t>
      </w:r>
      <w:r>
        <w:rPr>
          <w:rFonts w:ascii="楷体_GB2312" w:hAnsi="楷体_GB2312" w:eastAsia="楷体_GB2312" w:cs="楷体_GB2312"/>
          <w:b/>
          <w:bCs/>
          <w:color w:val="auto"/>
          <w:sz w:val="32"/>
          <w:szCs w:val="32"/>
        </w:rPr>
        <w:t>）经营效益达到较高水平。</w:t>
      </w:r>
      <w:r>
        <w:rPr>
          <w:rFonts w:ascii="仿宋_GB2312" w:hAnsi="仿宋_GB2312" w:eastAsia="仿宋_GB2312" w:cs="仿宋_GB2312"/>
          <w:color w:val="auto"/>
          <w:sz w:val="32"/>
          <w:szCs w:val="32"/>
        </w:rPr>
        <w:t>营业收入增长率、利润率、净资产收益率、资产负债率等方面均达到行业较高水平。</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七</w:t>
      </w:r>
      <w:r>
        <w:rPr>
          <w:rFonts w:ascii="楷体_GB2312" w:hAnsi="楷体_GB2312" w:eastAsia="楷体_GB2312" w:cs="楷体_GB2312"/>
          <w:b/>
          <w:bCs/>
          <w:color w:val="auto"/>
          <w:sz w:val="32"/>
          <w:szCs w:val="32"/>
        </w:rPr>
        <w:t>）社会信誉</w:t>
      </w:r>
      <w:r>
        <w:rPr>
          <w:rFonts w:hint="eastAsia" w:ascii="楷体_GB2312" w:hAnsi="楷体_GB2312" w:eastAsia="楷体_GB2312" w:cs="楷体_GB2312"/>
          <w:b/>
          <w:bCs/>
          <w:color w:val="auto"/>
          <w:sz w:val="32"/>
          <w:szCs w:val="32"/>
        </w:rPr>
        <w:t>评价</w:t>
      </w:r>
      <w:r>
        <w:rPr>
          <w:rFonts w:ascii="楷体_GB2312" w:hAnsi="楷体_GB2312" w:eastAsia="楷体_GB2312" w:cs="楷体_GB2312"/>
          <w:b/>
          <w:bCs/>
          <w:color w:val="auto"/>
          <w:sz w:val="32"/>
          <w:szCs w:val="32"/>
        </w:rPr>
        <w:t>好。</w:t>
      </w:r>
      <w:r>
        <w:rPr>
          <w:rFonts w:ascii="仿宋_GB2312" w:hAnsi="仿宋_GB2312" w:eastAsia="仿宋_GB2312" w:cs="仿宋_GB2312"/>
          <w:color w:val="auto"/>
          <w:sz w:val="32"/>
          <w:szCs w:val="32"/>
        </w:rPr>
        <w:t>企业履行社会责任，获得相关社会荣誉，对各类举报投诉积极处理。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二、信用信息项目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（一）企业和品牌具有社会影响力</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1.产品（服务）的销售区域</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2.质量和相关认证</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3.知识产权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4.经营资质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（二）信用</w:t>
      </w:r>
      <w:r>
        <w:rPr>
          <w:rFonts w:hint="eastAsia" w:ascii="楷体_GB2312" w:hAnsi="楷体_GB2312" w:eastAsia="楷体_GB2312" w:cs="楷体_GB2312"/>
          <w:b/>
          <w:bCs/>
          <w:color w:val="auto"/>
          <w:sz w:val="32"/>
          <w:szCs w:val="32"/>
        </w:rPr>
        <w:t>合规</w:t>
      </w:r>
      <w:r>
        <w:rPr>
          <w:rFonts w:ascii="楷体_GB2312" w:hAnsi="楷体_GB2312" w:eastAsia="楷体_GB2312" w:cs="楷体_GB2312"/>
          <w:b/>
          <w:bCs/>
          <w:color w:val="auto"/>
          <w:sz w:val="32"/>
          <w:szCs w:val="32"/>
        </w:rPr>
        <w:t>管理体系健全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5.信用</w:t>
      </w:r>
      <w:r>
        <w:rPr>
          <w:rFonts w:hint="eastAsia" w:ascii="仿宋_GB2312" w:hAnsi="仿宋_GB2312" w:eastAsia="仿宋_GB2312" w:cs="仿宋_GB2312"/>
          <w:color w:val="auto"/>
          <w:sz w:val="32"/>
          <w:szCs w:val="32"/>
        </w:rPr>
        <w:t>合规</w:t>
      </w:r>
      <w:r>
        <w:rPr>
          <w:rFonts w:ascii="仿宋_GB2312" w:hAnsi="仿宋_GB2312" w:eastAsia="仿宋_GB2312" w:cs="仿宋_GB2312"/>
          <w:color w:val="auto"/>
          <w:sz w:val="32"/>
          <w:szCs w:val="32"/>
        </w:rPr>
        <w:t>管理制度</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6.信用</w:t>
      </w:r>
      <w:r>
        <w:rPr>
          <w:rFonts w:hint="eastAsia" w:ascii="仿宋_GB2312" w:hAnsi="仿宋_GB2312" w:eastAsia="仿宋_GB2312" w:cs="仿宋_GB2312"/>
          <w:color w:val="auto"/>
          <w:sz w:val="32"/>
          <w:szCs w:val="32"/>
        </w:rPr>
        <w:t>合规</w:t>
      </w:r>
      <w:r>
        <w:rPr>
          <w:rFonts w:ascii="仿宋_GB2312" w:hAnsi="仿宋_GB2312" w:eastAsia="仿宋_GB2312" w:cs="仿宋_GB2312"/>
          <w:color w:val="auto"/>
          <w:sz w:val="32"/>
          <w:szCs w:val="32"/>
        </w:rPr>
        <w:t>管理机构</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7.信用</w:t>
      </w:r>
      <w:r>
        <w:rPr>
          <w:rFonts w:hint="eastAsia" w:ascii="仿宋_GB2312" w:hAnsi="仿宋_GB2312" w:eastAsia="仿宋_GB2312" w:cs="仿宋_GB2312"/>
          <w:color w:val="auto"/>
          <w:sz w:val="32"/>
          <w:szCs w:val="32"/>
        </w:rPr>
        <w:t>合规</w:t>
      </w:r>
      <w:r>
        <w:rPr>
          <w:rFonts w:ascii="仿宋_GB2312" w:hAnsi="仿宋_GB2312" w:eastAsia="仿宋_GB2312" w:cs="仿宋_GB2312"/>
          <w:color w:val="auto"/>
          <w:sz w:val="32"/>
          <w:szCs w:val="32"/>
        </w:rPr>
        <w:t>管理人员专业素质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（三）信用文化建设有声有色</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8.信用合规文化教育</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9.信用合规文化宣传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四</w:t>
      </w:r>
      <w:r>
        <w:rPr>
          <w:rFonts w:ascii="楷体_GB2312" w:hAnsi="楷体_GB2312" w:eastAsia="楷体_GB2312" w:cs="楷体_GB2312"/>
          <w:b/>
          <w:bCs/>
          <w:color w:val="auto"/>
          <w:sz w:val="32"/>
          <w:szCs w:val="32"/>
        </w:rPr>
        <w:t>）履</w:t>
      </w:r>
      <w:r>
        <w:rPr>
          <w:rFonts w:hint="eastAsia" w:ascii="楷体_GB2312" w:hAnsi="楷体_GB2312" w:eastAsia="楷体_GB2312" w:cs="楷体_GB2312"/>
          <w:b/>
          <w:bCs/>
          <w:color w:val="auto"/>
          <w:sz w:val="32"/>
          <w:szCs w:val="32"/>
        </w:rPr>
        <w:t>行法定义务</w:t>
      </w:r>
      <w:r>
        <w:rPr>
          <w:rFonts w:ascii="楷体_GB2312" w:hAnsi="楷体_GB2312" w:eastAsia="楷体_GB2312" w:cs="楷体_GB2312"/>
          <w:b/>
          <w:bCs/>
          <w:color w:val="auto"/>
          <w:sz w:val="32"/>
          <w:szCs w:val="32"/>
        </w:rPr>
        <w:t>状况好</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许可证未过期或失效</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未以严重虚假承诺取得许可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法定代表人、企业名称、住所未频繁变更</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年报公示信息准确，不存在年报全零申报、数据异常，财务数据公示属实</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即时信息公示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纳税、缴纳社保费和公积金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股权冻结情况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17.合同履约状况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五</w:t>
      </w: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企业经营</w:t>
      </w:r>
      <w:r>
        <w:rPr>
          <w:rFonts w:ascii="楷体_GB2312" w:hAnsi="楷体_GB2312" w:eastAsia="楷体_GB2312" w:cs="楷体_GB2312"/>
          <w:b/>
          <w:bCs/>
          <w:color w:val="auto"/>
          <w:sz w:val="32"/>
          <w:szCs w:val="32"/>
        </w:rPr>
        <w:t>行为规范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经营异常名录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9</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严重违法主体名单（黑名单）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失信被执行人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行政处罚</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行政检查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六</w:t>
      </w:r>
      <w:r>
        <w:rPr>
          <w:rFonts w:ascii="楷体_GB2312" w:hAnsi="楷体_GB2312" w:eastAsia="楷体_GB2312" w:cs="楷体_GB2312"/>
          <w:b/>
          <w:bCs/>
          <w:color w:val="auto"/>
          <w:sz w:val="32"/>
          <w:szCs w:val="32"/>
        </w:rPr>
        <w:t>）经营效益达到较高水平</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.营业收入增长率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.主营业务利润率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.净资产收益率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.资产负债率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.速动比率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.应收账款周转率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9</w:t>
      </w:r>
      <w:r>
        <w:rPr>
          <w:rFonts w:ascii="仿宋_GB2312" w:hAnsi="仿宋_GB2312" w:eastAsia="仿宋_GB2312" w:cs="仿宋_GB2312"/>
          <w:color w:val="auto"/>
          <w:sz w:val="32"/>
          <w:szCs w:val="32"/>
        </w:rPr>
        <w:t>.逾期账款占应收账款比例</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30</w:t>
      </w:r>
      <w:r>
        <w:rPr>
          <w:rFonts w:ascii="仿宋_GB2312" w:hAnsi="仿宋_GB2312" w:eastAsia="仿宋_GB2312" w:cs="仿宋_GB2312"/>
          <w:color w:val="auto"/>
          <w:sz w:val="32"/>
          <w:szCs w:val="32"/>
        </w:rPr>
        <w:t>.逾期账款占应付账款比例</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rPr>
        <w:t>七</w:t>
      </w:r>
      <w:r>
        <w:rPr>
          <w:rFonts w:ascii="楷体_GB2312" w:hAnsi="楷体_GB2312" w:eastAsia="楷体_GB2312" w:cs="楷体_GB2312"/>
          <w:b/>
          <w:bCs/>
          <w:color w:val="auto"/>
          <w:sz w:val="32"/>
          <w:szCs w:val="32"/>
        </w:rPr>
        <w:t>）社会信誉</w:t>
      </w:r>
      <w:r>
        <w:rPr>
          <w:rFonts w:hint="eastAsia" w:ascii="楷体_GB2312" w:hAnsi="楷体_GB2312" w:eastAsia="楷体_GB2312" w:cs="楷体_GB2312"/>
          <w:b/>
          <w:bCs/>
          <w:color w:val="auto"/>
          <w:sz w:val="32"/>
          <w:szCs w:val="32"/>
          <w:lang w:val="en-US" w:eastAsia="zh-CN"/>
        </w:rPr>
        <w:t>评价</w:t>
      </w:r>
      <w:r>
        <w:rPr>
          <w:rFonts w:ascii="楷体_GB2312" w:hAnsi="楷体_GB2312" w:eastAsia="楷体_GB2312" w:cs="楷体_GB2312"/>
          <w:b/>
          <w:bCs/>
          <w:color w:val="auto"/>
          <w:sz w:val="32"/>
          <w:szCs w:val="32"/>
        </w:rPr>
        <w:t>好</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.社会责任</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.荣誉记录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.举报投诉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.舆情评价</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sectPr>
          <w:footerReference r:id="rId4" w:type="default"/>
          <w:pgSz w:w="11906" w:h="16838"/>
          <w:pgMar w:top="2098" w:right="1361" w:bottom="1985" w:left="1701" w:header="851" w:footer="1474" w:gutter="0"/>
          <w:cols w:space="425" w:num="1"/>
          <w:docGrid w:type="linesAndChars" w:linePitch="579" w:charSpace="-849"/>
        </w:sect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附件2</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企业信用合规标准体系评价指引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55"/>
        <w:gridCol w:w="1743"/>
        <w:gridCol w:w="2153"/>
        <w:gridCol w:w="655"/>
        <w:gridCol w:w="5841"/>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trPr>
        <w:tc>
          <w:tcPr>
            <w:tcW w:w="647"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序号</w:t>
            </w:r>
          </w:p>
        </w:tc>
        <w:tc>
          <w:tcPr>
            <w:tcW w:w="125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评价要点</w:t>
            </w:r>
          </w:p>
        </w:tc>
        <w:tc>
          <w:tcPr>
            <w:tcW w:w="1743"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评价说明</w:t>
            </w:r>
          </w:p>
        </w:tc>
        <w:tc>
          <w:tcPr>
            <w:tcW w:w="2153"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评价明细</w:t>
            </w:r>
          </w:p>
        </w:tc>
        <w:tc>
          <w:tcPr>
            <w:tcW w:w="655"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权重</w:t>
            </w:r>
          </w:p>
        </w:tc>
        <w:tc>
          <w:tcPr>
            <w:tcW w:w="584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评价标准</w:t>
            </w:r>
          </w:p>
        </w:tc>
        <w:tc>
          <w:tcPr>
            <w:tcW w:w="674"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w:t>
            </w:r>
          </w:p>
        </w:tc>
        <w:tc>
          <w:tcPr>
            <w:tcW w:w="1255"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企业和品牌具有社会影响力</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（8分）</w:t>
            </w:r>
          </w:p>
        </w:tc>
        <w:tc>
          <w:tcPr>
            <w:tcW w:w="1743"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产品（服务）的销售区域较广，企业管理水平较高、信息化程度高、知识产权保护意识强，企业规模及管理达到行业领先水平。</w:t>
            </w: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产品（服务）的销售区域</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产品（服务）销售区域覆盖本市区域内</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周边市县</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国内多省市</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国内国外，按照0.5分逐次</w:t>
            </w:r>
            <w:r>
              <w:rPr>
                <w:rFonts w:hint="default" w:ascii="Times New Roman" w:hAnsi="Times New Roman" w:eastAsia="仿宋_GB2312" w:cs="Times New Roman"/>
                <w:color w:val="auto"/>
                <w:lang w:eastAsia="zh-CN"/>
              </w:rPr>
              <w:t>加</w:t>
            </w:r>
            <w:r>
              <w:rPr>
                <w:rFonts w:hint="default" w:ascii="Times New Roman" w:hAnsi="Times New Roman" w:eastAsia="仿宋_GB2312" w:cs="Times New Roman"/>
                <w:color w:val="auto"/>
              </w:rPr>
              <w:t>分进行评分。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质量和相关认证</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产品（服务）质量按照国家质量认证标准或者行业规范标准</w:t>
            </w:r>
            <w:r>
              <w:rPr>
                <w:rFonts w:hint="default" w:ascii="Times New Roman" w:hAnsi="Times New Roman" w:eastAsia="仿宋_GB2312" w:cs="Times New Roman"/>
                <w:color w:val="auto"/>
                <w:lang w:val="en-US" w:eastAsia="zh-CN"/>
              </w:rPr>
              <w:t>情况</w:t>
            </w:r>
            <w:r>
              <w:rPr>
                <w:rFonts w:hint="default" w:ascii="Times New Roman" w:hAnsi="Times New Roman" w:eastAsia="仿宋_GB2312" w:cs="Times New Roman"/>
                <w:color w:val="auto"/>
              </w:rPr>
              <w:t>综合评分。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知识产权</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按照企业获得的发明创造、实用外观设计等知识产权的数量</w:t>
            </w:r>
            <w:r>
              <w:rPr>
                <w:rFonts w:hint="default" w:ascii="Times New Roman" w:hAnsi="Times New Roman" w:eastAsia="仿宋_GB2312" w:cs="Times New Roman"/>
                <w:color w:val="auto"/>
                <w:lang w:val="en-US" w:eastAsia="zh-CN"/>
              </w:rPr>
              <w:t>情况</w:t>
            </w:r>
            <w:r>
              <w:rPr>
                <w:rFonts w:hint="default" w:ascii="Times New Roman" w:hAnsi="Times New Roman" w:eastAsia="仿宋_GB2312" w:cs="Times New Roman"/>
                <w:color w:val="auto"/>
              </w:rPr>
              <w:t>评分，</w:t>
            </w:r>
            <w:r>
              <w:rPr>
                <w:rFonts w:hint="default" w:ascii="Times New Roman" w:hAnsi="Times New Roman" w:eastAsia="仿宋_GB2312" w:cs="Times New Roman"/>
                <w:color w:val="auto"/>
                <w:lang w:eastAsia="zh-CN"/>
              </w:rPr>
              <w:t>没有</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2分；1</w:t>
            </w:r>
            <w:r>
              <w:rPr>
                <w:rFonts w:hint="default" w:ascii="Times New Roman" w:hAnsi="Times New Roman" w:eastAsia="仿宋_GB2312" w:cs="Times New Roman"/>
                <w:color w:val="auto"/>
              </w:rPr>
              <w:t>件</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rPr>
              <w:t>1分</w:t>
            </w:r>
            <w:r>
              <w:rPr>
                <w:rFonts w:hint="default" w:ascii="Times New Roman" w:hAnsi="Times New Roman" w:eastAsia="仿宋_GB2312" w:cs="Times New Roman"/>
                <w:color w:val="auto"/>
                <w:lang w:eastAsia="zh-CN"/>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4</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经营资质</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按照各类经营资质的要求，对场所、人员、许可证书等资质项目</w:t>
            </w:r>
            <w:r>
              <w:rPr>
                <w:rFonts w:hint="default" w:ascii="Times New Roman" w:hAnsi="Times New Roman" w:eastAsia="仿宋_GB2312" w:cs="Times New Roman"/>
                <w:color w:val="auto"/>
                <w:lang w:val="en-US" w:eastAsia="zh-CN"/>
              </w:rPr>
              <w:t>情况</w:t>
            </w:r>
            <w:r>
              <w:rPr>
                <w:rFonts w:hint="default" w:ascii="Times New Roman" w:hAnsi="Times New Roman" w:eastAsia="仿宋_GB2312" w:cs="Times New Roman"/>
                <w:color w:val="auto"/>
              </w:rPr>
              <w:t>现场检查，资质</w:t>
            </w:r>
            <w:r>
              <w:rPr>
                <w:rFonts w:hint="default" w:ascii="Times New Roman" w:hAnsi="Times New Roman" w:eastAsia="仿宋_GB2312" w:cs="Times New Roman"/>
                <w:color w:val="auto"/>
                <w:lang w:eastAsia="zh-CN"/>
              </w:rPr>
              <w:t>不</w:t>
            </w:r>
            <w:r>
              <w:rPr>
                <w:rFonts w:hint="default" w:ascii="Times New Roman" w:hAnsi="Times New Roman" w:eastAsia="仿宋_GB2312" w:cs="Times New Roman"/>
                <w:color w:val="auto"/>
              </w:rPr>
              <w:t>健全的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rPr>
              <w:t>2分</w:t>
            </w:r>
            <w:r>
              <w:rPr>
                <w:rFonts w:hint="default" w:ascii="Times New Roman" w:hAnsi="Times New Roman" w:eastAsia="仿宋_GB2312" w:cs="Times New Roman"/>
                <w:color w:val="auto"/>
                <w:lang w:eastAsia="zh-CN"/>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5</w:t>
            </w:r>
          </w:p>
        </w:tc>
        <w:tc>
          <w:tcPr>
            <w:tcW w:w="1255"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信用合规管理体系健全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8</w:t>
            </w:r>
            <w:r>
              <w:rPr>
                <w:rFonts w:hint="default" w:ascii="Times New Roman" w:hAnsi="Times New Roman" w:eastAsia="仿宋_GB2312" w:cs="Times New Roman"/>
                <w:color w:val="auto"/>
              </w:rPr>
              <w:t>分）</w:t>
            </w:r>
          </w:p>
        </w:tc>
        <w:tc>
          <w:tcPr>
            <w:tcW w:w="1743"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信用合规管理制度完善，信用合规管理机构健全，信用合规管理机制落实。</w:t>
            </w: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信用合规管理制度</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按照建立信用合规管理制度（包含制度文本、上墙公示、执行情况等要素）</w:t>
            </w:r>
            <w:r>
              <w:rPr>
                <w:rFonts w:hint="default" w:ascii="Times New Roman" w:hAnsi="Times New Roman" w:eastAsia="仿宋_GB2312" w:cs="Times New Roman"/>
                <w:color w:val="auto"/>
                <w:lang w:val="en-US" w:eastAsia="zh-CN"/>
              </w:rPr>
              <w:t>情况</w:t>
            </w:r>
            <w:r>
              <w:rPr>
                <w:rFonts w:hint="default" w:ascii="Times New Roman" w:hAnsi="Times New Roman" w:eastAsia="仿宋_GB2312" w:cs="Times New Roman"/>
                <w:color w:val="auto"/>
              </w:rPr>
              <w:t>综合评分。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6</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信用合规管理机构</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按照建立组织机构、建立合规数据清单、配备专兼职人员、配有办公场所等要素</w:t>
            </w:r>
            <w:r>
              <w:rPr>
                <w:rFonts w:hint="default" w:ascii="Times New Roman" w:hAnsi="Times New Roman" w:eastAsia="仿宋_GB2312" w:cs="Times New Roman"/>
                <w:color w:val="auto"/>
                <w:lang w:val="en-US" w:eastAsia="zh-CN"/>
              </w:rPr>
              <w:t>情况</w:t>
            </w:r>
            <w:r>
              <w:rPr>
                <w:rFonts w:hint="default" w:ascii="Times New Roman" w:hAnsi="Times New Roman" w:eastAsia="仿宋_GB2312" w:cs="Times New Roman"/>
                <w:color w:val="auto"/>
              </w:rPr>
              <w:t>综合评分。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7</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信用合规管理人员专业素质</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按照专兼职人员的专业素质水平、业务培训、工作对接联络情况等要素</w:t>
            </w:r>
            <w:r>
              <w:rPr>
                <w:rFonts w:hint="default" w:ascii="Times New Roman" w:hAnsi="Times New Roman" w:eastAsia="仿宋_GB2312" w:cs="Times New Roman"/>
                <w:color w:val="auto"/>
                <w:lang w:val="en-US" w:eastAsia="zh-CN"/>
              </w:rPr>
              <w:t>情况</w:t>
            </w:r>
            <w:r>
              <w:rPr>
                <w:rFonts w:hint="default" w:ascii="Times New Roman" w:hAnsi="Times New Roman" w:eastAsia="仿宋_GB2312" w:cs="Times New Roman"/>
                <w:color w:val="auto"/>
              </w:rPr>
              <w:t>综合评分。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8</w:t>
            </w:r>
          </w:p>
        </w:tc>
        <w:tc>
          <w:tcPr>
            <w:tcW w:w="1255"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信用文化建设有声有色</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（6分）</w:t>
            </w:r>
          </w:p>
        </w:tc>
        <w:tc>
          <w:tcPr>
            <w:tcW w:w="1743"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信用合规文化教育落实，信用合规文化宣传到位。</w:t>
            </w: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信用合规文化教育</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根据</w:t>
            </w:r>
            <w:r>
              <w:rPr>
                <w:rFonts w:hint="default" w:ascii="Times New Roman" w:hAnsi="Times New Roman" w:eastAsia="仿宋_GB2312" w:cs="Times New Roman"/>
                <w:color w:val="auto"/>
              </w:rPr>
              <w:t>建立常态化培训机制、制定年度培训计划、开展常态化法律法规知识学习等要素</w:t>
            </w:r>
            <w:r>
              <w:rPr>
                <w:rFonts w:hint="default" w:ascii="Times New Roman" w:hAnsi="Times New Roman" w:eastAsia="仿宋_GB2312" w:cs="Times New Roman"/>
                <w:color w:val="auto"/>
                <w:lang w:val="en-US" w:eastAsia="zh-CN"/>
              </w:rPr>
              <w:t>落实情况</w:t>
            </w:r>
            <w:r>
              <w:rPr>
                <w:rFonts w:hint="default" w:ascii="Times New Roman" w:hAnsi="Times New Roman" w:eastAsia="仿宋_GB2312" w:cs="Times New Roman"/>
                <w:color w:val="auto"/>
              </w:rPr>
              <w:t>综合评分。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9</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信用合规文化宣传</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按照设立文化宣传栏、纳入学习计划、专业测试等要素进行综合评分。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10</w:t>
            </w:r>
          </w:p>
        </w:tc>
        <w:tc>
          <w:tcPr>
            <w:tcW w:w="1255"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履行法定义务状况好</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w:t>
            </w:r>
            <w:r>
              <w:rPr>
                <w:rFonts w:hint="default" w:ascii="Times New Roman" w:hAnsi="Times New Roman" w:eastAsia="仿宋_GB2312" w:cs="Times New Roman"/>
                <w:color w:val="auto"/>
                <w:lang w:val="en-US" w:eastAsia="zh-CN"/>
              </w:rPr>
              <w:t>8</w:t>
            </w:r>
            <w:r>
              <w:rPr>
                <w:rFonts w:hint="default" w:ascii="Times New Roman" w:hAnsi="Times New Roman" w:eastAsia="仿宋_GB2312" w:cs="Times New Roman"/>
                <w:color w:val="auto"/>
              </w:rPr>
              <w:t>分）</w:t>
            </w:r>
          </w:p>
        </w:tc>
        <w:tc>
          <w:tcPr>
            <w:tcW w:w="1743"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企业许可和准入事项符合要求，登记备案事项未频繁变更，按要求报送并公示年报信息及即时信息，按要求纳税、缴纳社保费，股权出质、冻结情况良好</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合同履约状况好</w:t>
            </w:r>
            <w:r>
              <w:rPr>
                <w:rFonts w:hint="default" w:ascii="Times New Roman" w:hAnsi="Times New Roman" w:eastAsia="仿宋_GB2312" w:cs="Times New Roman"/>
                <w:color w:val="auto"/>
              </w:rPr>
              <w:t>。</w:t>
            </w: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许可证过期或失效</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许可证</w:t>
            </w:r>
            <w:r>
              <w:rPr>
                <w:rFonts w:hint="default" w:ascii="Times New Roman" w:hAnsi="Times New Roman" w:eastAsia="仿宋_GB2312" w:cs="Times New Roman"/>
                <w:color w:val="auto"/>
                <w:lang w:val="en-US" w:eastAsia="zh-CN"/>
              </w:rPr>
              <w:t>存在</w:t>
            </w:r>
            <w:r>
              <w:rPr>
                <w:rFonts w:hint="default" w:ascii="Times New Roman" w:hAnsi="Times New Roman" w:eastAsia="仿宋_GB2312" w:cs="Times New Roman"/>
                <w:color w:val="auto"/>
                <w:lang w:eastAsia="zh-CN"/>
              </w:rPr>
              <w:t>过期或失效</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2分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11</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严重虚假承诺取得许可</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查实</w:t>
            </w:r>
            <w:r>
              <w:rPr>
                <w:rFonts w:hint="default" w:ascii="Times New Roman" w:hAnsi="Times New Roman" w:eastAsia="仿宋_GB2312" w:cs="Times New Roman"/>
                <w:color w:val="auto"/>
                <w:lang w:val="en-US" w:eastAsia="zh-CN"/>
              </w:rPr>
              <w:t>存在</w:t>
            </w:r>
            <w:r>
              <w:rPr>
                <w:rFonts w:hint="default" w:ascii="Times New Roman" w:hAnsi="Times New Roman" w:eastAsia="仿宋_GB2312" w:cs="Times New Roman"/>
                <w:color w:val="auto"/>
              </w:rPr>
              <w:t>以虚假财务数据、虚假税务数据、虚假经营资质取得许可</w:t>
            </w:r>
            <w:r>
              <w:rPr>
                <w:rFonts w:hint="default" w:ascii="Times New Roman" w:hAnsi="Times New Roman" w:eastAsia="仿宋_GB2312" w:cs="Times New Roman"/>
                <w:color w:val="auto"/>
                <w:lang w:eastAsia="zh-CN"/>
              </w:rPr>
              <w:t>的，扣</w:t>
            </w:r>
            <w:r>
              <w:rPr>
                <w:rFonts w:hint="default" w:ascii="Times New Roman" w:hAnsi="Times New Roman" w:eastAsia="仿宋_GB2312" w:cs="Times New Roman"/>
                <w:color w:val="auto"/>
                <w:lang w:val="en-US" w:eastAsia="zh-CN"/>
              </w:rPr>
              <w:t>2分</w:t>
            </w:r>
            <w:r>
              <w:rPr>
                <w:rFonts w:hint="default" w:ascii="Times New Roman" w:hAnsi="Times New Roman" w:eastAsia="仿宋_GB2312" w:cs="Times New Roman"/>
                <w:color w:val="auto"/>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12</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法定代表人、企业名称、登记住所频繁变更</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一年内，</w:t>
            </w:r>
            <w:r>
              <w:rPr>
                <w:rFonts w:hint="default" w:ascii="Times New Roman" w:hAnsi="Times New Roman" w:eastAsia="仿宋_GB2312" w:cs="Times New Roman"/>
                <w:color w:val="auto"/>
              </w:rPr>
              <w:t>法定代表人、企业名称、登记住所</w:t>
            </w:r>
            <w:r>
              <w:rPr>
                <w:rFonts w:hint="default" w:ascii="Times New Roman" w:hAnsi="Times New Roman" w:eastAsia="仿宋_GB2312" w:cs="Times New Roman"/>
                <w:color w:val="auto"/>
                <w:lang w:eastAsia="zh-CN"/>
              </w:rPr>
              <w:t>等同一事项</w:t>
            </w:r>
            <w:r>
              <w:rPr>
                <w:rFonts w:hint="default" w:ascii="Times New Roman" w:hAnsi="Times New Roman" w:eastAsia="仿宋_GB2312" w:cs="Times New Roman"/>
                <w:color w:val="auto"/>
              </w:rPr>
              <w:t>变更3次以上的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2分</w:t>
            </w:r>
            <w:r>
              <w:rPr>
                <w:rFonts w:hint="default" w:ascii="Times New Roman" w:hAnsi="Times New Roman" w:eastAsia="仿宋_GB2312" w:cs="Times New Roman"/>
                <w:color w:val="auto"/>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13</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年报公示情况</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lang w:val="en-US" w:eastAsia="zh-CN"/>
              </w:rPr>
              <w:t>存在</w:t>
            </w:r>
            <w:r>
              <w:rPr>
                <w:rFonts w:hint="default" w:ascii="Times New Roman" w:hAnsi="Times New Roman" w:eastAsia="仿宋_GB2312" w:cs="Times New Roman"/>
                <w:color w:val="auto"/>
              </w:rPr>
              <w:t>年报全零申报</w:t>
            </w:r>
            <w:r>
              <w:rPr>
                <w:rFonts w:hint="default" w:ascii="Times New Roman" w:hAnsi="Times New Roman" w:eastAsia="仿宋_GB2312" w:cs="Times New Roman"/>
                <w:color w:val="auto"/>
                <w:lang w:val="en-US" w:eastAsia="zh-CN"/>
              </w:rPr>
              <w:t>的，扣1分；存在</w:t>
            </w:r>
            <w:r>
              <w:rPr>
                <w:rFonts w:hint="default" w:ascii="Times New Roman" w:hAnsi="Times New Roman" w:eastAsia="仿宋_GB2312" w:cs="Times New Roman"/>
                <w:color w:val="auto"/>
              </w:rPr>
              <w:t>年报数据填报异常</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扣1分，</w:t>
            </w:r>
            <w:r>
              <w:rPr>
                <w:rFonts w:hint="default" w:ascii="Times New Roman" w:hAnsi="Times New Roman" w:eastAsia="仿宋_GB2312" w:cs="Times New Roman"/>
                <w:color w:val="auto"/>
              </w:rPr>
              <w:t>财务数据公示不属实</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rPr>
              <w:t>，扣</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扣完本指标为止。</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14</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即时信息公示</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在国家企业公示系统上</w:t>
            </w:r>
            <w:r>
              <w:rPr>
                <w:rFonts w:hint="default" w:ascii="Times New Roman" w:hAnsi="Times New Roman" w:eastAsia="仿宋_GB2312" w:cs="Times New Roman"/>
                <w:color w:val="auto"/>
                <w:lang w:val="en-US" w:eastAsia="zh-CN"/>
              </w:rPr>
              <w:t>未</w:t>
            </w:r>
            <w:r>
              <w:rPr>
                <w:rFonts w:hint="default" w:ascii="Times New Roman" w:hAnsi="Times New Roman" w:eastAsia="仿宋_GB2312" w:cs="Times New Roman"/>
                <w:color w:val="auto"/>
              </w:rPr>
              <w:t>主动公示</w:t>
            </w:r>
            <w:r>
              <w:rPr>
                <w:rFonts w:hint="default" w:ascii="Times New Roman" w:hAnsi="Times New Roman" w:eastAsia="仿宋_GB2312" w:cs="Times New Roman"/>
                <w:color w:val="auto"/>
                <w:lang w:val="en-US" w:eastAsia="zh-CN"/>
              </w:rPr>
              <w:t>即时</w:t>
            </w:r>
            <w:r>
              <w:rPr>
                <w:rFonts w:hint="default" w:ascii="Times New Roman" w:hAnsi="Times New Roman" w:eastAsia="仿宋_GB2312" w:cs="Times New Roman"/>
                <w:color w:val="auto"/>
              </w:rPr>
              <w:t>信息</w:t>
            </w:r>
            <w:r>
              <w:rPr>
                <w:rFonts w:hint="default"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发现1次扣1分，扣完本指标分为止</w:t>
            </w:r>
            <w:r>
              <w:rPr>
                <w:rFonts w:hint="default" w:ascii="Times New Roman" w:hAnsi="Times New Roman" w:eastAsia="仿宋_GB2312" w:cs="Times New Roman"/>
                <w:color w:val="auto"/>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纳税申报情况</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市场主体</w:t>
            </w:r>
            <w:r>
              <w:rPr>
                <w:rFonts w:hint="default" w:ascii="Times New Roman" w:hAnsi="Times New Roman" w:eastAsia="仿宋_GB2312" w:cs="Times New Roman"/>
                <w:color w:val="auto"/>
              </w:rPr>
              <w:t>被税务部门认定为非正常户的，扣1分</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未按规定纳税的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扣1分。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缴纳社保、公积金</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未</w:t>
            </w:r>
            <w:r>
              <w:rPr>
                <w:rFonts w:hint="default" w:ascii="Times New Roman" w:hAnsi="Times New Roman" w:eastAsia="仿宋_GB2312" w:cs="Times New Roman"/>
                <w:color w:val="auto"/>
              </w:rPr>
              <w:t>按</w:t>
            </w:r>
            <w:r>
              <w:rPr>
                <w:rFonts w:hint="default" w:ascii="Times New Roman" w:hAnsi="Times New Roman" w:eastAsia="仿宋_GB2312" w:cs="Times New Roman"/>
                <w:color w:val="auto"/>
                <w:lang w:val="en-US" w:eastAsia="zh-CN"/>
              </w:rPr>
              <w:t>规定</w:t>
            </w:r>
            <w:r>
              <w:rPr>
                <w:rFonts w:hint="default" w:ascii="Times New Roman" w:hAnsi="Times New Roman" w:eastAsia="仿宋_GB2312" w:cs="Times New Roman"/>
                <w:color w:val="auto"/>
              </w:rPr>
              <w:t>缴纳社保、公积金</w:t>
            </w:r>
            <w:r>
              <w:rPr>
                <w:rFonts w:hint="default" w:ascii="Times New Roman" w:hAnsi="Times New Roman" w:eastAsia="仿宋_GB2312" w:cs="Times New Roman"/>
                <w:color w:val="auto"/>
                <w:lang w:val="en-US" w:eastAsia="zh-CN"/>
              </w:rPr>
              <w:t>的，发现1次扣1分，扣完本指标分为止</w:t>
            </w:r>
            <w:r>
              <w:rPr>
                <w:rFonts w:hint="default" w:ascii="Times New Roman" w:hAnsi="Times New Roman" w:eastAsia="仿宋_GB2312" w:cs="Times New Roman"/>
                <w:color w:val="auto"/>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16</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股权冻结情况</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企业存在</w:t>
            </w:r>
            <w:r>
              <w:rPr>
                <w:rFonts w:hint="default" w:ascii="Times New Roman" w:hAnsi="Times New Roman" w:eastAsia="仿宋_GB2312" w:cs="Times New Roman"/>
                <w:color w:val="auto"/>
              </w:rPr>
              <w:t>股权冻结</w:t>
            </w:r>
            <w:r>
              <w:rPr>
                <w:rFonts w:hint="default" w:ascii="Times New Roman" w:hAnsi="Times New Roman" w:eastAsia="仿宋_GB2312" w:cs="Times New Roman"/>
                <w:color w:val="auto"/>
                <w:lang w:val="en-US" w:eastAsia="zh-CN"/>
              </w:rPr>
              <w:t>情况的，扣2分</w:t>
            </w:r>
            <w:r>
              <w:rPr>
                <w:rFonts w:hint="default" w:ascii="Times New Roman" w:hAnsi="Times New Roman" w:eastAsia="仿宋_GB2312" w:cs="Times New Roman"/>
                <w:color w:val="auto"/>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17</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lang w:val="en-US" w:eastAsia="zh-CN"/>
              </w:rPr>
              <w:t>合同履约状况</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各类合同履约率未达90%的，扣2分；合同履行率达90%—95%的，扣1分。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18</w:t>
            </w:r>
          </w:p>
        </w:tc>
        <w:tc>
          <w:tcPr>
            <w:tcW w:w="1255"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企业经营行为规范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（40分）</w:t>
            </w:r>
          </w:p>
        </w:tc>
        <w:tc>
          <w:tcPr>
            <w:tcW w:w="1743"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按照法律</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法规及</w:t>
            </w:r>
            <w:r>
              <w:rPr>
                <w:rFonts w:hint="eastAsia" w:ascii="Times New Roman" w:hAnsi="Times New Roman" w:eastAsia="仿宋_GB2312" w:cs="Times New Roman"/>
                <w:color w:val="auto"/>
                <w:lang w:val="en-US" w:eastAsia="zh-CN"/>
              </w:rPr>
              <w:t>相关规定</w:t>
            </w:r>
            <w:r>
              <w:rPr>
                <w:rFonts w:hint="default" w:ascii="Times New Roman" w:hAnsi="Times New Roman" w:eastAsia="仿宋_GB2312" w:cs="Times New Roman"/>
                <w:color w:val="auto"/>
              </w:rPr>
              <w:t>按时履行相关义务，无违法违规行为。</w:t>
            </w: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经营异常名录（经营异常状态）</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5</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市场主体被</w:t>
            </w:r>
            <w:r>
              <w:rPr>
                <w:rFonts w:hint="default" w:ascii="Times New Roman" w:hAnsi="Times New Roman" w:eastAsia="仿宋_GB2312" w:cs="Times New Roman"/>
                <w:color w:val="auto"/>
                <w:lang w:eastAsia="zh-CN"/>
              </w:rPr>
              <w:t>列</w:t>
            </w:r>
            <w:r>
              <w:rPr>
                <w:rFonts w:hint="default" w:ascii="Times New Roman" w:hAnsi="Times New Roman" w:eastAsia="仿宋_GB2312" w:cs="Times New Roman"/>
                <w:color w:val="auto"/>
              </w:rPr>
              <w:t>入经营异常名录（</w:t>
            </w:r>
            <w:r>
              <w:rPr>
                <w:rFonts w:hint="default" w:ascii="Times New Roman" w:hAnsi="Times New Roman" w:eastAsia="仿宋_GB2312" w:cs="Times New Roman"/>
                <w:color w:val="auto"/>
                <w:lang w:eastAsia="zh-CN"/>
              </w:rPr>
              <w:t>标记</w:t>
            </w:r>
            <w:r>
              <w:rPr>
                <w:rFonts w:hint="default" w:ascii="Times New Roman" w:hAnsi="Times New Roman" w:eastAsia="仿宋_GB2312" w:cs="Times New Roman"/>
                <w:color w:val="auto"/>
              </w:rPr>
              <w:t>经营异常状态）</w:t>
            </w:r>
            <w:r>
              <w:rPr>
                <w:rFonts w:hint="default" w:ascii="Times New Roman" w:hAnsi="Times New Roman" w:eastAsia="仿宋_GB2312" w:cs="Times New Roman"/>
                <w:color w:val="auto"/>
                <w:lang w:eastAsia="zh-CN"/>
              </w:rPr>
              <w:t>的，</w:t>
            </w:r>
            <w:r>
              <w:rPr>
                <w:rFonts w:hint="default" w:ascii="Times New Roman" w:hAnsi="Times New Roman" w:eastAsia="仿宋_GB2312" w:cs="Times New Roman"/>
                <w:color w:val="auto"/>
              </w:rPr>
              <w:t>扣5分。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19</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严重违法主体名单（黑名单）</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10</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市场主体被纳入严重违法主体名单（黑名单）的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扣10分。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20</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失信被执行人</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10</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市场主体高级管理人员被纳入失信被执行人的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扣10分</w:t>
            </w:r>
            <w:r>
              <w:rPr>
                <w:rFonts w:hint="eastAsia" w:ascii="Times New Roman" w:hAnsi="Times New Roman" w:eastAsia="仿宋_GB2312" w:cs="Times New Roman"/>
                <w:color w:val="auto"/>
                <w:lang w:eastAsia="zh-CN"/>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21</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行政处罚</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10</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rPr>
              <w:t>市场主体</w:t>
            </w:r>
            <w:r>
              <w:rPr>
                <w:rFonts w:hint="default" w:ascii="Times New Roman" w:hAnsi="Times New Roman" w:eastAsia="仿宋_GB2312" w:cs="Times New Roman"/>
                <w:color w:val="auto"/>
                <w:lang w:val="en-US" w:eastAsia="zh-CN"/>
              </w:rPr>
              <w:t>在</w:t>
            </w:r>
            <w:r>
              <w:rPr>
                <w:rFonts w:hint="eastAsia" w:ascii="Times New Roman" w:hAnsi="Times New Roman" w:eastAsia="仿宋_GB2312" w:cs="Times New Roman"/>
                <w:color w:val="auto"/>
                <w:lang w:val="en-US" w:eastAsia="zh-CN"/>
              </w:rPr>
              <w:t>“信用中国”或国家信用信息</w:t>
            </w:r>
            <w:r>
              <w:rPr>
                <w:rFonts w:hint="default" w:ascii="Times New Roman" w:hAnsi="Times New Roman" w:eastAsia="仿宋_GB2312" w:cs="Times New Roman"/>
                <w:color w:val="auto"/>
                <w:lang w:val="en-US" w:eastAsia="zh-CN"/>
              </w:rPr>
              <w:t>公示系统上有</w:t>
            </w:r>
            <w:r>
              <w:rPr>
                <w:rFonts w:hint="default" w:ascii="Times New Roman" w:hAnsi="Times New Roman" w:eastAsia="仿宋_GB2312" w:cs="Times New Roman"/>
                <w:color w:val="auto"/>
              </w:rPr>
              <w:t>行政处罚</w:t>
            </w:r>
            <w:r>
              <w:rPr>
                <w:rFonts w:hint="eastAsia" w:ascii="Times New Roman" w:hAnsi="Times New Roman" w:eastAsia="仿宋_GB2312" w:cs="Times New Roman"/>
                <w:color w:val="auto"/>
                <w:lang w:val="en-US" w:eastAsia="zh-CN"/>
              </w:rPr>
              <w:t>信息</w:t>
            </w:r>
            <w:r>
              <w:rPr>
                <w:rFonts w:hint="default" w:ascii="Times New Roman" w:hAnsi="Times New Roman" w:eastAsia="仿宋_GB2312" w:cs="Times New Roman"/>
                <w:color w:val="auto"/>
              </w:rPr>
              <w:t>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扣10分</w:t>
            </w:r>
            <w:r>
              <w:rPr>
                <w:rFonts w:hint="eastAsia" w:ascii="Times New Roman" w:hAnsi="Times New Roman" w:eastAsia="仿宋_GB2312" w:cs="Times New Roman"/>
                <w:color w:val="auto"/>
                <w:lang w:eastAsia="zh-CN"/>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22</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行政检查</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5</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市场主体不配合行政检查的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扣5分。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23</w:t>
            </w:r>
          </w:p>
        </w:tc>
        <w:tc>
          <w:tcPr>
            <w:tcW w:w="1255"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经营效益达到较高水平</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（12分）</w:t>
            </w:r>
          </w:p>
        </w:tc>
        <w:tc>
          <w:tcPr>
            <w:tcW w:w="1743"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营业收入增长率、利润率、净资产收益率、资产负债率等方面均达到行业较高水平。</w:t>
            </w: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营业收入增长率</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营业收入增长率</w:t>
            </w:r>
            <w:r>
              <w:rPr>
                <w:rFonts w:hint="default" w:ascii="Times New Roman" w:hAnsi="Times New Roman" w:eastAsia="仿宋_GB2312" w:cs="Times New Roman"/>
                <w:color w:val="auto"/>
                <w:lang w:eastAsia="zh-CN"/>
              </w:rPr>
              <w:t>为负的扣</w:t>
            </w:r>
            <w:r>
              <w:rPr>
                <w:rFonts w:hint="default" w:ascii="Times New Roman" w:hAnsi="Times New Roman" w:eastAsia="仿宋_GB2312" w:cs="Times New Roman"/>
                <w:color w:val="auto"/>
                <w:lang w:val="en-US" w:eastAsia="zh-CN"/>
              </w:rPr>
              <w:t>1.5分，0%-5%的扣1分，5%</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10%的扣0.5分，10%及以上的不扣分。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24</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主营业务利润率</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主营业务利润率</w:t>
            </w:r>
            <w:r>
              <w:rPr>
                <w:rFonts w:hint="default" w:ascii="Times New Roman" w:hAnsi="Times New Roman" w:eastAsia="仿宋_GB2312" w:cs="Times New Roman"/>
                <w:color w:val="auto"/>
                <w:lang w:eastAsia="zh-CN"/>
              </w:rPr>
              <w:t>为负的扣</w:t>
            </w:r>
            <w:r>
              <w:rPr>
                <w:rFonts w:hint="default" w:ascii="Times New Roman" w:hAnsi="Times New Roman" w:eastAsia="仿宋_GB2312" w:cs="Times New Roman"/>
                <w:color w:val="auto"/>
                <w:lang w:val="en-US" w:eastAsia="zh-CN"/>
              </w:rPr>
              <w:t>1.5分，0%-10%的扣1分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10%</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15%的扣0.5分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15%及以上的不扣分。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25</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净资产收益率</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净资产收益率</w:t>
            </w:r>
            <w:r>
              <w:rPr>
                <w:rFonts w:hint="default" w:ascii="Times New Roman" w:hAnsi="Times New Roman" w:eastAsia="仿宋_GB2312" w:cs="Times New Roman"/>
                <w:color w:val="auto"/>
                <w:lang w:eastAsia="zh-CN"/>
              </w:rPr>
              <w:t>为负的扣</w:t>
            </w:r>
            <w:r>
              <w:rPr>
                <w:rFonts w:hint="default" w:ascii="Times New Roman" w:hAnsi="Times New Roman" w:eastAsia="仿宋_GB2312" w:cs="Times New Roman"/>
                <w:color w:val="auto"/>
                <w:lang w:val="en-US" w:eastAsia="zh-CN"/>
              </w:rPr>
              <w:t>1.5分，</w:t>
            </w:r>
            <w:r>
              <w:rPr>
                <w:rFonts w:hint="default" w:ascii="Times New Roman" w:hAnsi="Times New Roman" w:eastAsia="仿宋_GB2312" w:cs="Times New Roman"/>
                <w:color w:val="auto"/>
              </w:rPr>
              <w:t>0%</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10%的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1分</w:t>
            </w:r>
            <w:r>
              <w:rPr>
                <w:rFonts w:hint="default" w:ascii="Times New Roman" w:hAnsi="Times New Roman" w:eastAsia="仿宋_GB2312" w:cs="Times New Roman"/>
                <w:color w:val="auto"/>
              </w:rPr>
              <w:t>，10%</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0%的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0.5</w:t>
            </w:r>
            <w:r>
              <w:rPr>
                <w:rFonts w:hint="default" w:ascii="Times New Roman" w:hAnsi="Times New Roman" w:eastAsia="仿宋_GB2312" w:cs="Times New Roman"/>
                <w:color w:val="auto"/>
              </w:rPr>
              <w:t>分，30%及以上的</w:t>
            </w:r>
            <w:r>
              <w:rPr>
                <w:rFonts w:hint="default" w:ascii="Times New Roman" w:hAnsi="Times New Roman" w:eastAsia="仿宋_GB2312" w:cs="Times New Roman"/>
                <w:color w:val="auto"/>
                <w:lang w:eastAsia="zh-CN"/>
              </w:rPr>
              <w:t>不扣分</w:t>
            </w:r>
            <w:r>
              <w:rPr>
                <w:rFonts w:hint="default" w:ascii="Times New Roman" w:hAnsi="Times New Roman" w:eastAsia="仿宋_GB2312" w:cs="Times New Roman"/>
                <w:color w:val="auto"/>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26</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资产负债率</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资产负债率</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以上</w:t>
            </w:r>
            <w:r>
              <w:rPr>
                <w:rFonts w:hint="default" w:ascii="Times New Roman" w:hAnsi="Times New Roman" w:eastAsia="仿宋_GB2312" w:cs="Times New Roman"/>
                <w:color w:val="auto"/>
                <w:lang w:eastAsia="zh-CN"/>
              </w:rPr>
              <w:t>的扣</w:t>
            </w:r>
            <w:r>
              <w:rPr>
                <w:rFonts w:hint="default" w:ascii="Times New Roman" w:hAnsi="Times New Roman" w:eastAsia="仿宋_GB2312" w:cs="Times New Roman"/>
                <w:color w:val="auto"/>
                <w:lang w:val="en-US" w:eastAsia="zh-CN"/>
              </w:rPr>
              <w:t>1.5分，80</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lang w:eastAsia="zh-CN"/>
              </w:rPr>
              <w:t>的扣</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rPr>
              <w:t>0%</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8</w:t>
            </w:r>
            <w:r>
              <w:rPr>
                <w:rFonts w:hint="default" w:ascii="Times New Roman" w:hAnsi="Times New Roman" w:eastAsia="仿宋_GB2312" w:cs="Times New Roman"/>
                <w:color w:val="auto"/>
              </w:rPr>
              <w:t>0%</w:t>
            </w:r>
            <w:r>
              <w:rPr>
                <w:rFonts w:hint="default" w:ascii="Times New Roman" w:hAnsi="Times New Roman" w:eastAsia="仿宋_GB2312" w:cs="Times New Roman"/>
                <w:color w:val="auto"/>
                <w:lang w:eastAsia="zh-CN"/>
              </w:rPr>
              <w:t>的扣</w:t>
            </w:r>
            <w:r>
              <w:rPr>
                <w:rFonts w:hint="default" w:ascii="Times New Roman" w:hAnsi="Times New Roman" w:eastAsia="仿宋_GB2312" w:cs="Times New Roman"/>
                <w:color w:val="auto"/>
                <w:lang w:val="en-US" w:eastAsia="zh-CN"/>
              </w:rPr>
              <w:t>0.5分，60</w:t>
            </w:r>
            <w:r>
              <w:rPr>
                <w:rFonts w:hint="default" w:ascii="Times New Roman" w:hAnsi="Times New Roman" w:eastAsia="仿宋_GB2312" w:cs="Times New Roman"/>
                <w:color w:val="auto"/>
              </w:rPr>
              <w:t>%以下的</w:t>
            </w:r>
            <w:r>
              <w:rPr>
                <w:rFonts w:hint="default" w:ascii="Times New Roman" w:hAnsi="Times New Roman" w:eastAsia="仿宋_GB2312" w:cs="Times New Roman"/>
                <w:color w:val="auto"/>
                <w:lang w:eastAsia="zh-CN"/>
              </w:rPr>
              <w:t>不扣</w:t>
            </w:r>
            <w:r>
              <w:rPr>
                <w:rFonts w:hint="default" w:ascii="Times New Roman" w:hAnsi="Times New Roman" w:eastAsia="仿宋_GB2312" w:cs="Times New Roman"/>
                <w:color w:val="auto"/>
              </w:rPr>
              <w:t>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37</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速动比率</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速动比率低于0.4</w:t>
            </w:r>
            <w:r>
              <w:rPr>
                <w:rFonts w:hint="default" w:ascii="Times New Roman" w:hAnsi="Times New Roman" w:eastAsia="仿宋_GB2312" w:cs="Times New Roman"/>
                <w:color w:val="auto"/>
                <w:lang w:eastAsia="zh-CN"/>
              </w:rPr>
              <w:t>的扣</w:t>
            </w:r>
            <w:r>
              <w:rPr>
                <w:rFonts w:hint="default" w:ascii="Times New Roman" w:hAnsi="Times New Roman" w:eastAsia="仿宋_GB2312" w:cs="Times New Roman"/>
                <w:color w:val="auto"/>
                <w:lang w:val="en-US" w:eastAsia="zh-CN"/>
              </w:rPr>
              <w:t>1.5分，</w:t>
            </w:r>
            <w:r>
              <w:rPr>
                <w:rFonts w:hint="default" w:ascii="Times New Roman" w:hAnsi="Times New Roman" w:eastAsia="仿宋_GB2312" w:cs="Times New Roman"/>
                <w:color w:val="auto"/>
              </w:rPr>
              <w:t>0.4-0.7之间的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0.7-1之间的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0.5</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1以上的</w:t>
            </w:r>
            <w:r>
              <w:rPr>
                <w:rFonts w:hint="default" w:ascii="Times New Roman" w:hAnsi="Times New Roman" w:eastAsia="仿宋_GB2312" w:cs="Times New Roman"/>
                <w:color w:val="auto"/>
                <w:lang w:eastAsia="zh-CN"/>
              </w:rPr>
              <w:t>不扣分</w:t>
            </w:r>
            <w:r>
              <w:rPr>
                <w:rFonts w:hint="default" w:ascii="Times New Roman" w:hAnsi="Times New Roman" w:eastAsia="仿宋_GB2312" w:cs="Times New Roman"/>
                <w:color w:val="auto"/>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28</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应收账款周转率</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应收账款周转率低于1</w:t>
            </w:r>
            <w:r>
              <w:rPr>
                <w:rFonts w:hint="default" w:ascii="Times New Roman" w:hAnsi="Times New Roman" w:eastAsia="仿宋_GB2312" w:cs="Times New Roman"/>
                <w:color w:val="auto"/>
                <w:lang w:eastAsia="zh-CN"/>
              </w:rPr>
              <w:t>的扣</w:t>
            </w:r>
            <w:r>
              <w:rPr>
                <w:rFonts w:hint="default" w:ascii="Times New Roman" w:hAnsi="Times New Roman" w:eastAsia="仿宋_GB2312" w:cs="Times New Roman"/>
                <w:color w:val="auto"/>
                <w:lang w:val="en-US" w:eastAsia="zh-CN"/>
              </w:rPr>
              <w:t>1.5分，</w:t>
            </w:r>
            <w:r>
              <w:rPr>
                <w:rFonts w:hint="default" w:ascii="Times New Roman" w:hAnsi="Times New Roman" w:eastAsia="仿宋_GB2312" w:cs="Times New Roman"/>
                <w:color w:val="auto"/>
              </w:rPr>
              <w:t>1-2之间的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2-3之间的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0.5</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大于3的</w:t>
            </w:r>
            <w:r>
              <w:rPr>
                <w:rFonts w:hint="default" w:ascii="Times New Roman" w:hAnsi="Times New Roman" w:eastAsia="仿宋_GB2312" w:cs="Times New Roman"/>
                <w:color w:val="auto"/>
                <w:lang w:eastAsia="zh-CN"/>
              </w:rPr>
              <w:t>不扣分</w:t>
            </w:r>
            <w:r>
              <w:rPr>
                <w:rFonts w:hint="default" w:ascii="Times New Roman" w:hAnsi="Times New Roman" w:eastAsia="仿宋_GB2312" w:cs="Times New Roman"/>
                <w:color w:val="auto"/>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29</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逾期账款占应收账款比例</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逾期账款占应收账款比例高于60%的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1.5分，</w:t>
            </w:r>
            <w:r>
              <w:rPr>
                <w:rFonts w:hint="default" w:ascii="Times New Roman" w:hAnsi="Times New Roman" w:eastAsia="仿宋_GB2312" w:cs="Times New Roman"/>
                <w:color w:val="auto"/>
              </w:rPr>
              <w:t>40%—60%的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0%—40%的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0.5</w:t>
            </w:r>
            <w:r>
              <w:rPr>
                <w:rFonts w:hint="default" w:ascii="Times New Roman" w:hAnsi="Times New Roman" w:eastAsia="仿宋_GB2312" w:cs="Times New Roman"/>
                <w:color w:val="auto"/>
              </w:rPr>
              <w:t>分，低于</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0%的</w:t>
            </w:r>
            <w:r>
              <w:rPr>
                <w:rFonts w:hint="default" w:ascii="Times New Roman" w:hAnsi="Times New Roman" w:eastAsia="仿宋_GB2312" w:cs="Times New Roman"/>
                <w:color w:val="auto"/>
                <w:lang w:eastAsia="zh-CN"/>
              </w:rPr>
              <w:t>不扣分。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30</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逾期账款占应付账款比例</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逾期账款占应付账款比例</w:t>
            </w:r>
            <w:r>
              <w:rPr>
                <w:rFonts w:hint="default" w:ascii="Times New Roman" w:hAnsi="Times New Roman" w:eastAsia="仿宋_GB2312" w:cs="Times New Roman"/>
                <w:color w:val="auto"/>
                <w:lang w:eastAsia="zh-CN"/>
              </w:rPr>
              <w:t>高于</w:t>
            </w:r>
            <w:r>
              <w:rPr>
                <w:rFonts w:hint="default" w:ascii="Times New Roman" w:hAnsi="Times New Roman" w:eastAsia="仿宋_GB2312" w:cs="Times New Roman"/>
                <w:color w:val="auto"/>
              </w:rPr>
              <w:t>60%的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1.5分，</w:t>
            </w:r>
            <w:r>
              <w:rPr>
                <w:rFonts w:hint="default" w:ascii="Times New Roman" w:hAnsi="Times New Roman" w:eastAsia="仿宋_GB2312" w:cs="Times New Roman"/>
                <w:color w:val="auto"/>
              </w:rPr>
              <w:t>40%—60%的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0%—40%的</w:t>
            </w:r>
            <w:r>
              <w:rPr>
                <w:rFonts w:hint="default" w:ascii="Times New Roman" w:hAnsi="Times New Roman" w:eastAsia="仿宋_GB2312" w:cs="Times New Roman"/>
                <w:color w:val="auto"/>
                <w:lang w:eastAsia="zh-CN"/>
              </w:rPr>
              <w:t>扣</w:t>
            </w:r>
            <w:r>
              <w:rPr>
                <w:rFonts w:hint="default" w:ascii="Times New Roman" w:hAnsi="Times New Roman" w:eastAsia="仿宋_GB2312" w:cs="Times New Roman"/>
                <w:color w:val="auto"/>
                <w:lang w:val="en-US" w:eastAsia="zh-CN"/>
              </w:rPr>
              <w:t>0.5</w:t>
            </w:r>
            <w:r>
              <w:rPr>
                <w:rFonts w:hint="default" w:ascii="Times New Roman" w:hAnsi="Times New Roman" w:eastAsia="仿宋_GB2312" w:cs="Times New Roman"/>
                <w:color w:val="auto"/>
              </w:rPr>
              <w:t>分，低于</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0%的</w:t>
            </w:r>
            <w:r>
              <w:rPr>
                <w:rFonts w:hint="default" w:ascii="Times New Roman" w:hAnsi="Times New Roman" w:eastAsia="仿宋_GB2312" w:cs="Times New Roman"/>
                <w:color w:val="auto"/>
                <w:lang w:eastAsia="zh-CN"/>
              </w:rPr>
              <w:t>不扣分。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31</w:t>
            </w:r>
          </w:p>
        </w:tc>
        <w:tc>
          <w:tcPr>
            <w:tcW w:w="1255"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社会信誉</w:t>
            </w:r>
            <w:r>
              <w:rPr>
                <w:rFonts w:hint="default" w:ascii="Times New Roman" w:hAnsi="Times New Roman" w:eastAsia="仿宋_GB2312" w:cs="Times New Roman"/>
                <w:color w:val="auto"/>
                <w:lang w:val="en-US" w:eastAsia="zh-CN"/>
              </w:rPr>
              <w:t>评价</w:t>
            </w:r>
            <w:r>
              <w:rPr>
                <w:rFonts w:hint="default" w:ascii="Times New Roman" w:hAnsi="Times New Roman" w:eastAsia="仿宋_GB2312" w:cs="Times New Roman"/>
                <w:color w:val="auto"/>
              </w:rPr>
              <w:t>好</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（8分）</w:t>
            </w:r>
          </w:p>
        </w:tc>
        <w:tc>
          <w:tcPr>
            <w:tcW w:w="1743" w:type="dxa"/>
            <w:vMerge w:val="restart"/>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市场主体积极履行社会责任，受到县（区）级以上表彰，无</w:t>
            </w:r>
            <w:r>
              <w:rPr>
                <w:rFonts w:hint="default" w:ascii="Times New Roman" w:hAnsi="Times New Roman" w:eastAsia="仿宋_GB2312" w:cs="Times New Roman"/>
                <w:color w:val="auto"/>
                <w:lang w:eastAsia="zh-CN"/>
              </w:rPr>
              <w:t>有效</w:t>
            </w:r>
            <w:r>
              <w:rPr>
                <w:rFonts w:hint="default" w:ascii="Times New Roman" w:hAnsi="Times New Roman" w:eastAsia="仿宋_GB2312" w:cs="Times New Roman"/>
                <w:color w:val="auto"/>
                <w:lang w:val="en-US" w:eastAsia="zh-CN"/>
              </w:rPr>
              <w:t>投诉和负面舆情。</w:t>
            </w: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社会责任</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市场主体积极参加社会活动，履行社会责任，积极向社会传递正能量，结合情况进行综合评分。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32</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荣誉记录</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未</w:t>
            </w:r>
            <w:r>
              <w:rPr>
                <w:rFonts w:hint="default" w:ascii="Times New Roman" w:hAnsi="Times New Roman" w:eastAsia="仿宋_GB2312" w:cs="Times New Roman"/>
                <w:color w:val="auto"/>
              </w:rPr>
              <w:t>获得县（区）级以上各类涉企表彰的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扣</w:t>
            </w:r>
            <w:r>
              <w:rPr>
                <w:rFonts w:hint="default" w:ascii="Times New Roman" w:hAnsi="Times New Roman" w:eastAsia="仿宋_GB2312" w:cs="Times New Roman"/>
                <w:color w:val="auto"/>
              </w:rPr>
              <w:t>2分</w:t>
            </w:r>
            <w:r>
              <w:rPr>
                <w:rFonts w:hint="default" w:ascii="Times New Roman" w:hAnsi="Times New Roman" w:eastAsia="仿宋_GB2312" w:cs="Times New Roman"/>
                <w:color w:val="auto"/>
                <w:lang w:eastAsia="zh-CN"/>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47" w:type="dxa"/>
            <w:vAlign w:val="top"/>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rPr>
              <w:t>33</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举报投诉</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因各类途径被举报投诉，查实的</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扣2分</w:t>
            </w:r>
            <w:r>
              <w:rPr>
                <w:rFonts w:hint="default" w:ascii="Times New Roman" w:hAnsi="Times New Roman" w:eastAsia="仿宋_GB2312" w:cs="Times New Roman"/>
                <w:color w:val="auto"/>
                <w:lang w:eastAsia="zh-CN"/>
              </w:rPr>
              <w:t>。</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647" w:type="dxa"/>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34</w:t>
            </w:r>
          </w:p>
        </w:tc>
        <w:tc>
          <w:tcPr>
            <w:tcW w:w="1255"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1743" w:type="dxa"/>
            <w:vMerge w:val="continue"/>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p>
        </w:tc>
        <w:tc>
          <w:tcPr>
            <w:tcW w:w="2153"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舆情评价</w:t>
            </w:r>
          </w:p>
        </w:tc>
        <w:tc>
          <w:tcPr>
            <w:tcW w:w="655"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5841"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综合各类调查对象对市场主体的舆情评价，进行综合评分。</w:t>
            </w:r>
          </w:p>
        </w:tc>
        <w:tc>
          <w:tcPr>
            <w:tcW w:w="674" w:type="dxa"/>
            <w:vAlign w:val="center"/>
          </w:tcPr>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tLeast"/>
              <w:jc w:val="both"/>
              <w:textAlignment w:val="auto"/>
              <w:rPr>
                <w:rFonts w:hint="default" w:ascii="Times New Roman" w:hAnsi="Times New Roman" w:eastAsia="仿宋_GB2312" w:cs="Times New Roman"/>
                <w:color w:val="auto"/>
                <w:lang w:val="en-US" w:eastAsia="zh-CN"/>
              </w:rPr>
            </w:pPr>
          </w:p>
        </w:tc>
      </w:tr>
    </w:tbl>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sectPr>
          <w:pgSz w:w="16838" w:h="11906" w:orient="landscape"/>
          <w:pgMar w:top="1701" w:right="2098" w:bottom="1361" w:left="1985" w:header="851" w:footer="1474" w:gutter="0"/>
          <w:cols w:space="425" w:num="1"/>
          <w:docGrid w:type="linesAndChars" w:linePitch="579" w:charSpace="-849"/>
        </w:sect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附件3</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ascii="方正小标宋_GBK" w:hAnsi="方正小标宋_GBK" w:eastAsia="方正小标宋_GBK" w:cs="方正小标宋_GBK"/>
          <w:color w:val="auto"/>
          <w:sz w:val="44"/>
          <w:szCs w:val="44"/>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大中型企业信用合规内控管理机制指引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为规范大中型企业信用合规管理，</w:t>
      </w:r>
      <w:r>
        <w:rPr>
          <w:rFonts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val="en-US" w:eastAsia="zh-CN"/>
        </w:rPr>
        <w:t>企业</w:t>
      </w:r>
      <w:r>
        <w:rPr>
          <w:rFonts w:ascii="仿宋_GB2312" w:hAnsi="仿宋_GB2312" w:eastAsia="仿宋_GB2312" w:cs="仿宋_GB2312"/>
          <w:color w:val="auto"/>
          <w:sz w:val="32"/>
          <w:szCs w:val="32"/>
        </w:rPr>
        <w:t>治理机制，</w:t>
      </w:r>
      <w:r>
        <w:rPr>
          <w:rFonts w:hint="eastAsia" w:ascii="仿宋_GB2312" w:hAnsi="仿宋_GB2312" w:eastAsia="仿宋_GB2312" w:cs="仿宋_GB2312"/>
          <w:color w:val="auto"/>
          <w:sz w:val="32"/>
          <w:szCs w:val="32"/>
        </w:rPr>
        <w:t>鼓励大中型企业建立健全信用</w:t>
      </w:r>
      <w:r>
        <w:rPr>
          <w:rFonts w:ascii="仿宋_GB2312" w:hAnsi="仿宋_GB2312" w:eastAsia="仿宋_GB2312" w:cs="仿宋_GB2312"/>
          <w:color w:val="auto"/>
          <w:sz w:val="32"/>
          <w:szCs w:val="32"/>
        </w:rPr>
        <w:t>合规内控管理机制，建立完善</w:t>
      </w:r>
      <w:r>
        <w:rPr>
          <w:rFonts w:hint="eastAsia" w:ascii="仿宋_GB2312" w:hAnsi="仿宋_GB2312" w:eastAsia="仿宋_GB2312" w:cs="仿宋_GB2312"/>
          <w:color w:val="auto"/>
          <w:sz w:val="32"/>
          <w:szCs w:val="32"/>
        </w:rPr>
        <w:t>自身</w:t>
      </w:r>
      <w:r>
        <w:rPr>
          <w:rFonts w:ascii="仿宋_GB2312" w:hAnsi="仿宋_GB2312" w:eastAsia="仿宋_GB2312" w:cs="仿宋_GB2312"/>
          <w:color w:val="auto"/>
          <w:sz w:val="32"/>
          <w:szCs w:val="32"/>
        </w:rPr>
        <w:t>规范化、标准化、程序化</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科学化的</w:t>
      </w:r>
      <w:r>
        <w:rPr>
          <w:rFonts w:hint="eastAsia" w:ascii="仿宋_GB2312" w:hAnsi="仿宋_GB2312" w:eastAsia="仿宋_GB2312" w:cs="仿宋_GB2312"/>
          <w:color w:val="auto"/>
          <w:sz w:val="32"/>
          <w:szCs w:val="32"/>
        </w:rPr>
        <w:t>信用</w:t>
      </w:r>
      <w:r>
        <w:rPr>
          <w:rFonts w:ascii="仿宋_GB2312" w:hAnsi="仿宋_GB2312" w:eastAsia="仿宋_GB2312" w:cs="仿宋_GB2312"/>
          <w:color w:val="auto"/>
          <w:sz w:val="32"/>
          <w:szCs w:val="32"/>
        </w:rPr>
        <w:t>合规内控</w:t>
      </w:r>
      <w:r>
        <w:rPr>
          <w:rFonts w:hint="eastAsia" w:ascii="仿宋_GB2312" w:hAnsi="仿宋_GB2312" w:eastAsia="仿宋_GB2312" w:cs="仿宋_GB2312"/>
          <w:color w:val="auto"/>
          <w:sz w:val="32"/>
          <w:szCs w:val="32"/>
        </w:rPr>
        <w:t>监督</w:t>
      </w:r>
      <w:r>
        <w:rPr>
          <w:rFonts w:ascii="仿宋_GB2312" w:hAnsi="仿宋_GB2312" w:eastAsia="仿宋_GB2312" w:cs="仿宋_GB2312"/>
          <w:color w:val="auto"/>
          <w:sz w:val="32"/>
          <w:szCs w:val="32"/>
        </w:rPr>
        <w:t>体系</w:t>
      </w:r>
      <w:r>
        <w:rPr>
          <w:rFonts w:hint="eastAsia" w:ascii="仿宋_GB2312" w:hAnsi="仿宋_GB2312" w:eastAsia="仿宋_GB2312" w:cs="仿宋_GB2312"/>
          <w:color w:val="auto"/>
          <w:sz w:val="32"/>
          <w:szCs w:val="32"/>
        </w:rPr>
        <w:t>，切实防范</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保障</w:t>
      </w:r>
      <w:r>
        <w:rPr>
          <w:rFonts w:hint="eastAsia" w:ascii="仿宋_GB2312" w:hAnsi="仿宋_GB2312" w:eastAsia="仿宋_GB2312" w:cs="仿宋_GB2312"/>
          <w:color w:val="auto"/>
          <w:sz w:val="32"/>
          <w:szCs w:val="32"/>
        </w:rPr>
        <w:t>大中型企业合规</w:t>
      </w:r>
      <w:r>
        <w:rPr>
          <w:rFonts w:ascii="仿宋_GB2312" w:hAnsi="仿宋_GB2312" w:eastAsia="仿宋_GB2312" w:cs="仿宋_GB2312"/>
          <w:color w:val="auto"/>
          <w:sz w:val="32"/>
          <w:szCs w:val="32"/>
        </w:rPr>
        <w:t>经营</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健康发展。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一、建立信用合规内控体系</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鼓励大中型企业完善信用合规</w:t>
      </w:r>
      <w:r>
        <w:rPr>
          <w:rFonts w:ascii="仿宋_GB2312" w:hAnsi="仿宋_GB2312" w:eastAsia="仿宋_GB2312" w:cs="仿宋_GB2312"/>
          <w:color w:val="auto"/>
          <w:sz w:val="32"/>
          <w:szCs w:val="32"/>
        </w:rPr>
        <w:t>内控体系建设</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实施全</w:t>
      </w:r>
      <w:r>
        <w:rPr>
          <w:rFonts w:hint="eastAsia" w:ascii="仿宋_GB2312" w:hAnsi="仿宋_GB2312" w:eastAsia="仿宋_GB2312" w:cs="仿宋_GB2312"/>
          <w:color w:val="auto"/>
          <w:sz w:val="32"/>
          <w:szCs w:val="32"/>
        </w:rPr>
        <w:t>面信用</w:t>
      </w:r>
      <w:r>
        <w:rPr>
          <w:rFonts w:ascii="仿宋_GB2312" w:hAnsi="仿宋_GB2312" w:eastAsia="仿宋_GB2312" w:cs="仿宋_GB2312"/>
          <w:color w:val="auto"/>
          <w:sz w:val="32"/>
          <w:szCs w:val="32"/>
        </w:rPr>
        <w:t>风险管理，提高</w:t>
      </w:r>
      <w:r>
        <w:rPr>
          <w:rFonts w:hint="eastAsia" w:ascii="仿宋_GB2312" w:hAnsi="仿宋_GB2312" w:eastAsia="仿宋_GB2312" w:cs="仿宋_GB2312"/>
          <w:color w:val="auto"/>
          <w:sz w:val="32"/>
          <w:szCs w:val="32"/>
          <w:lang w:val="en-US" w:eastAsia="zh-CN"/>
        </w:rPr>
        <w:t>企业</w:t>
      </w:r>
      <w:r>
        <w:rPr>
          <w:rFonts w:ascii="仿宋_GB2312" w:hAnsi="仿宋_GB2312" w:eastAsia="仿宋_GB2312" w:cs="仿宋_GB2312"/>
          <w:color w:val="auto"/>
          <w:sz w:val="32"/>
          <w:szCs w:val="32"/>
        </w:rPr>
        <w:t>核心竞争力</w:t>
      </w:r>
      <w:r>
        <w:rPr>
          <w:rFonts w:hint="eastAsia" w:ascii="仿宋_GB2312" w:hAnsi="仿宋_GB2312" w:eastAsia="仿宋_GB2312" w:cs="仿宋_GB2312"/>
          <w:color w:val="auto"/>
          <w:sz w:val="32"/>
          <w:szCs w:val="32"/>
        </w:rPr>
        <w:t>。成立</w:t>
      </w:r>
      <w:r>
        <w:rPr>
          <w:rFonts w:hint="eastAsia" w:ascii="Times New Roman" w:hAnsi="Times New Roman" w:eastAsia="仿宋_GB2312" w:cs="Times New Roman"/>
          <w:color w:val="auto"/>
          <w:sz w:val="32"/>
          <w:szCs w:val="32"/>
        </w:rPr>
        <w:t>由主要负责人为组长，财务、销售、法务等部门为成员的信用合规管理工作小组，建立协调合作机制，定期召开工作例会，研究部署信用合规任务，明确任务分工和落实措施。配备信用合规专职管理人员，</w:t>
      </w:r>
      <w:r>
        <w:rPr>
          <w:rFonts w:hint="eastAsia" w:ascii="仿宋_GB2312" w:hAnsi="仿宋_GB2312" w:eastAsia="仿宋_GB2312" w:cs="仿宋_GB2312"/>
          <w:color w:val="auto"/>
          <w:sz w:val="32"/>
          <w:szCs w:val="32"/>
        </w:rPr>
        <w:t>具备准确的信用风险识别能力，</w:t>
      </w:r>
      <w:r>
        <w:rPr>
          <w:rFonts w:ascii="Times New Roman" w:hAnsi="Times New Roman" w:eastAsia="仿宋_GB2312" w:cs="Times New Roman"/>
          <w:color w:val="auto"/>
          <w:sz w:val="32"/>
          <w:szCs w:val="32"/>
        </w:rPr>
        <w:t>负责市场主体信用合规管理，开展信用违规风险识别、预警</w:t>
      </w:r>
      <w:r>
        <w:rPr>
          <w:rFonts w:hint="eastAsia" w:ascii="Times New Roman" w:hAnsi="Times New Roman" w:eastAsia="仿宋_GB2312" w:cs="Times New Roman"/>
          <w:color w:val="auto"/>
          <w:sz w:val="32"/>
          <w:szCs w:val="32"/>
        </w:rPr>
        <w:t>、评估</w:t>
      </w:r>
      <w:r>
        <w:rPr>
          <w:rFonts w:ascii="Times New Roman" w:hAnsi="Times New Roman" w:eastAsia="仿宋_GB2312" w:cs="Times New Roman"/>
          <w:color w:val="auto"/>
          <w:sz w:val="32"/>
          <w:szCs w:val="32"/>
        </w:rPr>
        <w:t>和应对处置，推动市场主体信用合规建设。</w:t>
      </w:r>
      <w:r>
        <w:rPr>
          <w:rFonts w:hint="eastAsia" w:ascii="Times New Roman" w:hAnsi="Times New Roman" w:eastAsia="仿宋_GB2312" w:cs="Times New Roman"/>
          <w:color w:val="auto"/>
          <w:sz w:val="32"/>
          <w:szCs w:val="32"/>
        </w:rPr>
        <w:t>各业务部门指定</w:t>
      </w:r>
      <w:r>
        <w:rPr>
          <w:rFonts w:hint="eastAsia" w:ascii="Times New Roman" w:hAnsi="Times New Roman" w:eastAsia="仿宋_GB2312" w:cs="Times New Roman"/>
          <w:color w:val="auto"/>
          <w:sz w:val="32"/>
          <w:szCs w:val="32"/>
          <w:lang w:val="en-US" w:eastAsia="zh-CN"/>
        </w:rPr>
        <w:t>专人</w:t>
      </w:r>
      <w:r>
        <w:rPr>
          <w:rFonts w:hint="eastAsia" w:ascii="Times New Roman" w:hAnsi="Times New Roman" w:eastAsia="仿宋_GB2312" w:cs="Times New Roman"/>
          <w:color w:val="auto"/>
          <w:sz w:val="32"/>
          <w:szCs w:val="32"/>
        </w:rPr>
        <w:t>负责信用合规兼职人员，配合做好本部门的信用合规工作，</w:t>
      </w:r>
      <w:r>
        <w:rPr>
          <w:rFonts w:hint="eastAsia" w:ascii="Times New Roman" w:hAnsi="Times New Roman" w:eastAsia="仿宋_GB2312" w:cs="Times New Roman"/>
          <w:color w:val="auto"/>
          <w:sz w:val="32"/>
          <w:szCs w:val="32"/>
          <w:lang w:val="en-US" w:eastAsia="zh-CN"/>
        </w:rPr>
        <w:t>保障</w:t>
      </w:r>
      <w:r>
        <w:rPr>
          <w:rFonts w:hint="eastAsia" w:ascii="Times New Roman" w:hAnsi="Times New Roman" w:eastAsia="仿宋_GB2312" w:cs="Times New Roman"/>
          <w:color w:val="auto"/>
          <w:sz w:val="32"/>
          <w:szCs w:val="32"/>
        </w:rPr>
        <w:t>企业信用合规内控体系落实落地，实现事有人干、责有人负。</w:t>
      </w:r>
      <w:r>
        <w:rPr>
          <w:rFonts w:hint="eastAsia" w:ascii="仿宋_GB2312" w:hAnsi="仿宋_GB2312" w:eastAsia="仿宋_GB2312" w:cs="仿宋_GB2312"/>
          <w:color w:val="auto"/>
          <w:sz w:val="32"/>
          <w:szCs w:val="32"/>
        </w:rPr>
        <w:t>建立完备的信用合规监测评估体系，健全信用合规内控制度和严密的控制措施，畅通</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沟通交流渠道，落实</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督查检查，常态化开展信用合规评价，有效防范</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发生。</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二、强化信用合规内控管理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用合规内控部门可以与企业内控部门合署办公，履行企业信用合规内控工作职责，与相关部门工作衔接和协调配合，整体实施信用合规管理、风险防范。信用合规管理人员承担信用合规管理、督查和处置的责任和义务，并定期将企业</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和控制状态向企业负责人报告。鼓励实行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双线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报告，双向负责制，既向所在业务部门负责人负责，同时也对信用合规内控部门负责。对</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突出的适时进行通报，视情约谈相关部门主要负责人，并督促整改。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三、建立</w:t>
      </w:r>
      <w:r>
        <w:rPr>
          <w:rFonts w:hint="default" w:ascii="黑体" w:hAnsi="黑体" w:eastAsia="黑体" w:cs="黑体"/>
          <w:color w:val="auto"/>
          <w:sz w:val="32"/>
          <w:szCs w:val="32"/>
        </w:rPr>
        <w:t>信用违规风险</w:t>
      </w:r>
      <w:r>
        <w:rPr>
          <w:rFonts w:hint="eastAsia" w:ascii="黑体" w:hAnsi="黑体" w:eastAsia="黑体" w:cs="黑体"/>
          <w:color w:val="auto"/>
          <w:sz w:val="32"/>
          <w:szCs w:val="32"/>
        </w:rPr>
        <w:t>机制</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鼓励大中型企业将信用合规管理工作覆盖企业所有涉及信用风险的业务部门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相关人员</w:t>
      </w:r>
      <w:r>
        <w:rPr>
          <w:rFonts w:hint="eastAsia" w:ascii="仿宋_GB2312" w:hAnsi="仿宋_GB2312" w:eastAsia="仿宋_GB2312" w:cs="仿宋_GB2312"/>
          <w:color w:val="auto"/>
          <w:sz w:val="32"/>
          <w:szCs w:val="32"/>
        </w:rPr>
        <w:t>。建立严密完善的防范机制，实现</w:t>
      </w:r>
      <w:r>
        <w:rPr>
          <w:rFonts w:hint="eastAsia" w:ascii="仿宋_GB2312" w:hAnsi="仿宋_GB2312" w:eastAsia="仿宋_GB2312" w:cs="仿宋_GB2312"/>
          <w:color w:val="auto"/>
          <w:sz w:val="32"/>
          <w:szCs w:val="32"/>
          <w:lang w:eastAsia="zh-CN"/>
        </w:rPr>
        <w:t>有效地识别</w:t>
      </w:r>
      <w:r>
        <w:rPr>
          <w:rFonts w:hint="eastAsia" w:ascii="仿宋_GB2312" w:hAnsi="仿宋_GB2312" w:eastAsia="仿宋_GB2312" w:cs="仿宋_GB2312"/>
          <w:color w:val="auto"/>
          <w:sz w:val="32"/>
          <w:szCs w:val="32"/>
        </w:rPr>
        <w:t>、评估、监测各类信用风险，主动避免各类违法、违规行为发生，免受法律制裁和信用损失。建立</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点，通过标准化、流程化管理，有效防止失信发生。</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四、加大信用合规监督力度</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鼓励大中型企业信用</w:t>
      </w:r>
      <w:r>
        <w:rPr>
          <w:rFonts w:ascii="仿宋_GB2312" w:hAnsi="仿宋_GB2312" w:eastAsia="仿宋_GB2312" w:cs="仿宋_GB2312"/>
          <w:color w:val="auto"/>
          <w:sz w:val="32"/>
          <w:szCs w:val="32"/>
        </w:rPr>
        <w:t>合规内控部门围绕强化</w:t>
      </w:r>
      <w:r>
        <w:rPr>
          <w:rFonts w:hint="eastAsia" w:ascii="仿宋_GB2312" w:hAnsi="仿宋_GB2312" w:eastAsia="仿宋_GB2312" w:cs="仿宋_GB2312"/>
          <w:color w:val="auto"/>
          <w:sz w:val="32"/>
          <w:szCs w:val="32"/>
        </w:rPr>
        <w:t>企业信用合规</w:t>
      </w:r>
      <w:r>
        <w:rPr>
          <w:rFonts w:ascii="仿宋_GB2312" w:hAnsi="仿宋_GB2312" w:eastAsia="仿宋_GB2312" w:cs="仿宋_GB2312"/>
          <w:color w:val="auto"/>
          <w:sz w:val="32"/>
          <w:szCs w:val="32"/>
        </w:rPr>
        <w:t>内控建设，</w:t>
      </w:r>
      <w:r>
        <w:rPr>
          <w:rFonts w:hint="eastAsia" w:ascii="仿宋_GB2312" w:hAnsi="仿宋_GB2312" w:eastAsia="仿宋_GB2312" w:cs="仿宋_GB2312"/>
          <w:color w:val="auto"/>
          <w:sz w:val="32"/>
          <w:szCs w:val="32"/>
        </w:rPr>
        <w:t>对企业各项业务信用合规内控制度建设和执行的监督，每月不少于一次。</w:t>
      </w:r>
      <w:r>
        <w:rPr>
          <w:rFonts w:hint="eastAsia" w:ascii="仿宋_GB2312" w:hAnsi="仿宋_GB2312" w:eastAsia="仿宋_GB2312" w:cs="仿宋_GB2312"/>
          <w:color w:val="auto"/>
          <w:sz w:val="32"/>
          <w:szCs w:val="32"/>
          <w:lang w:val="en-US" w:eastAsia="zh-CN"/>
        </w:rPr>
        <w:t>加大</w:t>
      </w:r>
      <w:r>
        <w:rPr>
          <w:rFonts w:hint="eastAsia" w:ascii="仿宋_GB2312" w:hAnsi="仿宋_GB2312" w:eastAsia="仿宋_GB2312" w:cs="仿宋_GB2312"/>
          <w:color w:val="auto"/>
          <w:sz w:val="32"/>
          <w:szCs w:val="32"/>
        </w:rPr>
        <w:t>对企业经营活动中信用风险点的监督管理力度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通过常规监督、专项检查等工作机制，提高信用合规监督的质量和效果。对企业年报信息、公示信息、易发案件的监督，组织开展专项和常规监督检查工作，发挥信用合规管理和风险控制作用。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五、建立</w:t>
      </w:r>
      <w:r>
        <w:rPr>
          <w:rFonts w:hint="eastAsia" w:ascii="黑体" w:hAnsi="黑体" w:eastAsia="黑体" w:cs="黑体"/>
          <w:color w:val="auto"/>
          <w:sz w:val="32"/>
          <w:szCs w:val="32"/>
          <w:lang w:val="en-US" w:eastAsia="zh-CN"/>
        </w:rPr>
        <w:t>内控管理</w:t>
      </w:r>
      <w:r>
        <w:rPr>
          <w:rFonts w:hint="eastAsia" w:ascii="黑体" w:hAnsi="黑体" w:eastAsia="黑体" w:cs="黑体"/>
          <w:color w:val="auto"/>
          <w:sz w:val="32"/>
          <w:szCs w:val="32"/>
        </w:rPr>
        <w:t>长效机制</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鼓励大中型企业</w:t>
      </w:r>
      <w:r>
        <w:rPr>
          <w:rFonts w:hint="eastAsia" w:ascii="仿宋_GB2312" w:hAnsi="仿宋_GB2312" w:eastAsia="仿宋_GB2312" w:cs="仿宋_GB2312"/>
          <w:color w:val="auto"/>
          <w:sz w:val="32"/>
          <w:szCs w:val="32"/>
          <w:lang w:val="en-US" w:eastAsia="zh-CN"/>
        </w:rPr>
        <w:t>常态化</w:t>
      </w:r>
      <w:r>
        <w:rPr>
          <w:rFonts w:hint="eastAsia" w:ascii="仿宋_GB2312" w:hAnsi="仿宋_GB2312" w:eastAsia="仿宋_GB2312" w:cs="仿宋_GB2312"/>
          <w:color w:val="auto"/>
          <w:sz w:val="32"/>
          <w:szCs w:val="32"/>
        </w:rPr>
        <w:t>组织开展信用合规内控评价工作，通过信用合规内控评价，及时发现信用合规内控建设中风险评估、控制活动、监督检查等方面存在的问题，针对性采取措施加以整改，提高企业信用合规内控管理水平。对评价后续工作跟踪检查，督促落实改进措施。鼓励将信用合规内控评价纳入员工绩效考核，实行奖惩制度，有效提高信用合规内控长效机制。</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atLeast"/>
        <w:ind w:firstLine="632" w:firstLineChars="200"/>
        <w:jc w:val="both"/>
        <w:textAlignment w:val="auto"/>
        <w:rPr>
          <w:rFonts w:ascii="仿宋_GB2312" w:hAnsi="仿宋_GB2312" w:eastAsia="仿宋_GB2312" w:cs="仿宋_GB2312"/>
          <w:color w:val="auto"/>
          <w:sz w:val="32"/>
          <w:szCs w:val="32"/>
        </w:rPr>
        <w:sectPr>
          <w:footerReference r:id="rId5" w:type="default"/>
          <w:pgSz w:w="11906" w:h="16838"/>
          <w:pgMar w:top="2098" w:right="1361" w:bottom="1985" w:left="1701" w:header="851" w:footer="1474" w:gutter="0"/>
          <w:cols w:space="425" w:num="1"/>
          <w:docGrid w:type="linesAndChars" w:linePitch="579" w:charSpace="-849"/>
        </w:sect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附件4</w:t>
      </w:r>
      <w:bookmarkStart w:id="0" w:name="_GoBack"/>
      <w:bookmarkEnd w:id="0"/>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ascii="方正小标宋_GBK" w:hAnsi="方正小标宋_GBK" w:eastAsia="方正小标宋_GBK" w:cs="方正小标宋_GBK"/>
          <w:color w:val="auto"/>
          <w:sz w:val="44"/>
          <w:szCs w:val="44"/>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大中型企业</w:t>
      </w:r>
      <w:r>
        <w:rPr>
          <w:rFonts w:hint="default" w:ascii="方正小标宋_GBK" w:hAnsi="方正小标宋_GBK" w:eastAsia="方正小标宋_GBK" w:cs="方正小标宋_GBK"/>
          <w:color w:val="auto"/>
          <w:sz w:val="44"/>
          <w:szCs w:val="44"/>
        </w:rPr>
        <w:t>信用违规风险</w:t>
      </w:r>
      <w:r>
        <w:rPr>
          <w:rFonts w:hint="eastAsia" w:ascii="方正小标宋_GBK" w:hAnsi="方正小标宋_GBK" w:eastAsia="方正小标宋_GBK" w:cs="方正小标宋_GBK"/>
          <w:color w:val="auto"/>
          <w:sz w:val="44"/>
          <w:szCs w:val="44"/>
        </w:rPr>
        <w:t>响应机制指引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为规范大中型企业</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val="en-US" w:eastAsia="zh-CN"/>
        </w:rPr>
        <w:t>鼓励大中型企业</w:t>
      </w:r>
      <w:r>
        <w:rPr>
          <w:rFonts w:hint="eastAsia" w:ascii="仿宋_GB2312" w:hAnsi="仿宋_GB2312" w:eastAsia="仿宋_GB2312" w:cs="仿宋_GB2312"/>
          <w:color w:val="auto"/>
          <w:sz w:val="32"/>
          <w:szCs w:val="32"/>
        </w:rPr>
        <w:t>建立</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识别、预警、评估、应对等响应机制，切实防范</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，实现企业合规经营、高质量发展。</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一、设立信用合规管理机构</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鼓励大中型企业设立信用合规管理机构，与政策法规机构合署办公。配备信用合规专职或兼职工作人员，履行信用合规建设职责，牵头负责</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应急处置工作。信用合规工作人员对其所在部门（机构）负责人负责，在</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管理上有向本企业负责人报告和建议的义务。</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二、确定</w:t>
      </w:r>
      <w:r>
        <w:rPr>
          <w:rFonts w:hint="default" w:ascii="黑体" w:hAnsi="黑体" w:eastAsia="黑体" w:cs="黑体"/>
          <w:color w:val="auto"/>
          <w:sz w:val="32"/>
          <w:szCs w:val="32"/>
        </w:rPr>
        <w:t>信用违规风险</w:t>
      </w:r>
      <w:r>
        <w:rPr>
          <w:rFonts w:hint="eastAsia" w:ascii="黑体" w:hAnsi="黑体" w:eastAsia="黑体" w:cs="黑体"/>
          <w:color w:val="auto"/>
          <w:sz w:val="32"/>
          <w:szCs w:val="32"/>
        </w:rPr>
        <w:t>范围</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（一）列入经营异常名录（经营异常状态）的风险；</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（二）违反法律法规被行政处罚的风险；</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（三）列入严重失信</w:t>
      </w:r>
      <w:r>
        <w:rPr>
          <w:rFonts w:hint="eastAsia" w:ascii="仿宋_GB2312" w:hAnsi="仿宋_GB2312" w:eastAsia="仿宋_GB2312" w:cs="仿宋_GB2312"/>
          <w:color w:val="auto"/>
          <w:sz w:val="32"/>
          <w:szCs w:val="32"/>
          <w:lang w:val="en-US" w:eastAsia="zh-CN"/>
        </w:rPr>
        <w:t>主体</w:t>
      </w:r>
      <w:r>
        <w:rPr>
          <w:rFonts w:hint="eastAsia" w:ascii="仿宋_GB2312" w:hAnsi="仿宋_GB2312" w:eastAsia="仿宋_GB2312" w:cs="仿宋_GB2312"/>
          <w:color w:val="auto"/>
          <w:sz w:val="32"/>
          <w:szCs w:val="32"/>
        </w:rPr>
        <w:t>名单的风险；</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）不实承诺信息的风险；</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）其他</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三、建立信用合规管理机制</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w:t>
      </w:r>
      <w:r>
        <w:rPr>
          <w:rFonts w:hint="default" w:ascii="楷体_GB2312" w:hAnsi="楷体_GB2312" w:eastAsia="楷体_GB2312" w:cs="楷体_GB2312"/>
          <w:b/>
          <w:bCs/>
          <w:color w:val="auto"/>
          <w:sz w:val="32"/>
          <w:szCs w:val="32"/>
        </w:rPr>
        <w:t>信用违规风险</w:t>
      </w:r>
      <w:r>
        <w:rPr>
          <w:rFonts w:hint="eastAsia" w:ascii="楷体_GB2312" w:hAnsi="楷体_GB2312" w:eastAsia="楷体_GB2312" w:cs="楷体_GB2312"/>
          <w:b/>
          <w:bCs/>
          <w:color w:val="auto"/>
          <w:sz w:val="32"/>
          <w:szCs w:val="32"/>
        </w:rPr>
        <w:t>识别机制</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鼓励大中型企业开展</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点的排查，信用合规机构牵头进行整体监测，各业务部门适时识别、监测本身或业务条线可能产生的</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w:t>
      </w:r>
      <w:r>
        <w:rPr>
          <w:rFonts w:ascii="Times New Roman" w:hAnsi="Times New Roman" w:eastAsia="仿宋_GB2312" w:cs="Times New Roman"/>
          <w:color w:val="auto"/>
          <w:sz w:val="32"/>
          <w:szCs w:val="32"/>
        </w:rPr>
        <w:t>建立并定期更新信用合规数据库</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对信用风险发生的可能性、影响程度、潜在后果等进行分析</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识别</w:t>
      </w:r>
      <w:r>
        <w:rPr>
          <w:rFonts w:ascii="Times New Roman" w:hAnsi="Times New Roman" w:eastAsia="仿宋_GB2312" w:cs="Times New Roman"/>
          <w:color w:val="auto"/>
          <w:sz w:val="32"/>
          <w:szCs w:val="32"/>
        </w:rPr>
        <w:t>，准确识别信用违规风险点。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w:t>
      </w:r>
      <w:r>
        <w:rPr>
          <w:rFonts w:hint="default" w:ascii="楷体_GB2312" w:hAnsi="楷体_GB2312" w:eastAsia="楷体_GB2312" w:cs="楷体_GB2312"/>
          <w:b/>
          <w:bCs/>
          <w:color w:val="auto"/>
          <w:sz w:val="32"/>
          <w:szCs w:val="32"/>
        </w:rPr>
        <w:t>信用违规风险</w:t>
      </w:r>
      <w:r>
        <w:rPr>
          <w:rFonts w:hint="eastAsia" w:ascii="楷体_GB2312" w:hAnsi="楷体_GB2312" w:eastAsia="楷体_GB2312" w:cs="楷体_GB2312"/>
          <w:b/>
          <w:bCs/>
          <w:color w:val="auto"/>
          <w:sz w:val="32"/>
          <w:szCs w:val="32"/>
        </w:rPr>
        <w:t>预警机制</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鼓励大中型企业信用合规部门将发现的</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，及时报告企业负责人，同时向相关业务部门发出</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警示信号，让业务部门提前介入，做好应对措施。建立</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报告制度，鼓励员工报告信用违规</w:t>
      </w:r>
      <w:r>
        <w:rPr>
          <w:rFonts w:hint="eastAsia" w:ascii="仿宋_GB2312" w:hAnsi="仿宋_GB2312" w:eastAsia="仿宋_GB2312" w:cs="仿宋_GB2312"/>
          <w:color w:val="auto"/>
          <w:sz w:val="32"/>
          <w:szCs w:val="32"/>
          <w:lang w:val="en-US" w:eastAsia="zh-CN"/>
        </w:rPr>
        <w:t>风险</w:t>
      </w:r>
      <w:r>
        <w:rPr>
          <w:rFonts w:hint="eastAsia" w:ascii="仿宋_GB2312" w:hAnsi="仿宋_GB2312" w:eastAsia="仿宋_GB2312" w:cs="仿宋_GB2312"/>
          <w:color w:val="auto"/>
          <w:sz w:val="32"/>
          <w:szCs w:val="32"/>
        </w:rPr>
        <w:t>，及时采取补救或应急措施，尽量减少</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w:t>
      </w:r>
      <w:r>
        <w:rPr>
          <w:rFonts w:hint="default" w:ascii="楷体_GB2312" w:hAnsi="楷体_GB2312" w:eastAsia="楷体_GB2312" w:cs="楷体_GB2312"/>
          <w:b/>
          <w:bCs/>
          <w:color w:val="auto"/>
          <w:sz w:val="32"/>
          <w:szCs w:val="32"/>
        </w:rPr>
        <w:t>信用违规风险</w:t>
      </w:r>
      <w:r>
        <w:rPr>
          <w:rFonts w:hint="eastAsia" w:ascii="楷体_GB2312" w:hAnsi="楷体_GB2312" w:eastAsia="楷体_GB2312" w:cs="楷体_GB2312"/>
          <w:b/>
          <w:bCs/>
          <w:color w:val="auto"/>
          <w:sz w:val="32"/>
          <w:szCs w:val="32"/>
        </w:rPr>
        <w:t>评估机制</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鼓励大中型企业根据法律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法规</w:t>
      </w:r>
      <w:r>
        <w:rPr>
          <w:rFonts w:hint="eastAsia" w:ascii="仿宋_GB2312" w:hAnsi="仿宋_GB2312" w:eastAsia="仿宋_GB2312" w:cs="仿宋_GB2312"/>
          <w:color w:val="auto"/>
          <w:sz w:val="32"/>
          <w:szCs w:val="32"/>
          <w:lang w:val="en-US" w:eastAsia="zh-CN"/>
        </w:rPr>
        <w:t>有相关规定</w:t>
      </w:r>
      <w:r>
        <w:rPr>
          <w:rFonts w:hint="eastAsia" w:ascii="仿宋_GB2312" w:hAnsi="仿宋_GB2312" w:eastAsia="仿宋_GB2312" w:cs="仿宋_GB2312"/>
          <w:color w:val="auto"/>
          <w:sz w:val="32"/>
          <w:szCs w:val="32"/>
        </w:rPr>
        <w:t>等情况，按照经验判断与模型化分析相结合、定量与定性相结合、静态与动态相结合的方法对</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进行评估、研判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是否具有</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信用合规管理实施落实情况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存在不足及改进措施</w:t>
      </w:r>
      <w:r>
        <w:rPr>
          <w:rFonts w:hint="eastAsia" w:ascii="仿宋_GB2312" w:hAnsi="仿宋_GB2312" w:eastAsia="仿宋_GB2312" w:cs="仿宋_GB2312"/>
          <w:color w:val="auto"/>
          <w:sz w:val="32"/>
          <w:szCs w:val="32"/>
          <w:lang w:val="en-US" w:eastAsia="zh-CN"/>
        </w:rPr>
        <w:t>等进行评估</w:t>
      </w:r>
      <w:r>
        <w:rPr>
          <w:rFonts w:hint="eastAsia" w:ascii="仿宋_GB2312" w:hAnsi="仿宋_GB2312" w:eastAsia="仿宋_GB2312" w:cs="仿宋_GB2312"/>
          <w:color w:val="auto"/>
          <w:sz w:val="32"/>
          <w:szCs w:val="32"/>
        </w:rPr>
        <w:t>，预测</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可能造成的损失和危害。</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w:t>
      </w:r>
      <w:r>
        <w:rPr>
          <w:rFonts w:hint="default" w:ascii="楷体_GB2312" w:hAnsi="楷体_GB2312" w:eastAsia="楷体_GB2312" w:cs="楷体_GB2312"/>
          <w:b/>
          <w:bCs/>
          <w:color w:val="auto"/>
          <w:sz w:val="32"/>
          <w:szCs w:val="32"/>
        </w:rPr>
        <w:t>信用违规风险</w:t>
      </w:r>
      <w:r>
        <w:rPr>
          <w:rFonts w:hint="eastAsia" w:ascii="楷体_GB2312" w:hAnsi="楷体_GB2312" w:eastAsia="楷体_GB2312" w:cs="楷体_GB2312"/>
          <w:b/>
          <w:bCs/>
          <w:color w:val="auto"/>
          <w:sz w:val="32"/>
          <w:szCs w:val="32"/>
        </w:rPr>
        <w:t>应对机制</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鼓励大中型企业根据自我</w:t>
      </w:r>
      <w:r>
        <w:rPr>
          <w:rFonts w:hint="eastAsia" w:ascii="仿宋_GB2312" w:hAnsi="仿宋_GB2312" w:eastAsia="仿宋_GB2312" w:cs="仿宋_GB2312"/>
          <w:color w:val="auto"/>
          <w:sz w:val="32"/>
          <w:szCs w:val="32"/>
          <w:lang w:val="en-US" w:eastAsia="zh-CN"/>
        </w:rPr>
        <w:t>信用风险</w:t>
      </w:r>
      <w:r>
        <w:rPr>
          <w:rFonts w:hint="eastAsia" w:ascii="仿宋_GB2312" w:hAnsi="仿宋_GB2312" w:eastAsia="仿宋_GB2312" w:cs="仿宋_GB2312"/>
          <w:color w:val="auto"/>
          <w:sz w:val="32"/>
          <w:szCs w:val="32"/>
        </w:rPr>
        <w:t>评估，调整改进</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内容，及时主动纠正违法失信行为，消除不良影响，重塑信用。确定专人负责响应与处置，实施必要的措施，以尽量减少影响和损失。对于还未产生影响的</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点，应依法依规进行整治，防止产生</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；对发现企业信用信息有误的，可以主动提出异议申请，及时更正或撤销；对于已产生影响的</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点，应立即纠正违法行为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防止</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再次发生。加大失信信息的修复力度，按程序提前申请信用修复，承诺依法、依规诚信经营，履行法定义务。</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四、完善信用合规组织保障</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78" w:lineRule="atLeast"/>
        <w:ind w:firstLine="63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鼓励大中型企业健全完善信用合规组织保障，成立信用合规管理委员会，定期召开工作例会，研究部署信用合规建设任务，</w:t>
      </w:r>
      <w:r>
        <w:rPr>
          <w:rFonts w:hint="eastAsia" w:ascii="仿宋_GB2312" w:hAnsi="仿宋_GB2312" w:eastAsia="仿宋_GB2312" w:cs="仿宋_GB2312"/>
          <w:color w:val="auto"/>
          <w:sz w:val="32"/>
          <w:szCs w:val="32"/>
          <w:lang w:val="en-US" w:eastAsia="zh-CN"/>
        </w:rPr>
        <w:t>建立</w:t>
      </w:r>
      <w:r>
        <w:rPr>
          <w:rFonts w:hint="eastAsia" w:ascii="仿宋_GB2312" w:hAnsi="仿宋_GB2312" w:eastAsia="仿宋_GB2312" w:cs="仿宋_GB2312"/>
          <w:color w:val="auto"/>
          <w:sz w:val="32"/>
          <w:szCs w:val="32"/>
        </w:rPr>
        <w:t>分工负责、通力合作机制。信用</w:t>
      </w:r>
      <w:r>
        <w:rPr>
          <w:rFonts w:ascii="仿宋_GB2312" w:hAnsi="仿宋_GB2312" w:eastAsia="仿宋_GB2312" w:cs="仿宋_GB2312"/>
          <w:color w:val="auto"/>
          <w:sz w:val="32"/>
          <w:szCs w:val="32"/>
        </w:rPr>
        <w:t>合规部门与业务部门之间密切配合，业务部门对</w:t>
      </w:r>
      <w:r>
        <w:rPr>
          <w:rFonts w:hint="eastAsia" w:ascii="仿宋_GB2312" w:hAnsi="仿宋_GB2312" w:eastAsia="仿宋_GB2312" w:cs="仿宋_GB2312"/>
          <w:color w:val="auto"/>
          <w:sz w:val="32"/>
          <w:szCs w:val="32"/>
        </w:rPr>
        <w:t>信用</w:t>
      </w:r>
      <w:r>
        <w:rPr>
          <w:rFonts w:ascii="仿宋_GB2312" w:hAnsi="仿宋_GB2312" w:eastAsia="仿宋_GB2312" w:cs="仿宋_GB2312"/>
          <w:color w:val="auto"/>
          <w:sz w:val="32"/>
          <w:szCs w:val="32"/>
        </w:rPr>
        <w:t>合规部门主动提供业务经营情况、工作开展情况以及合规风险信息资源；</w:t>
      </w:r>
      <w:r>
        <w:rPr>
          <w:rFonts w:hint="eastAsia" w:ascii="仿宋_GB2312" w:hAnsi="仿宋_GB2312" w:eastAsia="仿宋_GB2312" w:cs="仿宋_GB2312"/>
          <w:color w:val="auto"/>
          <w:sz w:val="32"/>
          <w:szCs w:val="32"/>
        </w:rPr>
        <w:t>信用</w:t>
      </w:r>
      <w:r>
        <w:rPr>
          <w:rFonts w:ascii="仿宋_GB2312" w:hAnsi="仿宋_GB2312" w:eastAsia="仿宋_GB2312" w:cs="仿宋_GB2312"/>
          <w:color w:val="auto"/>
          <w:sz w:val="32"/>
          <w:szCs w:val="32"/>
        </w:rPr>
        <w:t>合规部门为业务部门提供业务与产品创新的合规咨询、建议、评估和支持</w:t>
      </w:r>
      <w:r>
        <w:rPr>
          <w:rFonts w:hint="eastAsia" w:ascii="仿宋_GB2312" w:hAnsi="仿宋_GB2312" w:eastAsia="仿宋_GB2312" w:cs="仿宋_GB2312"/>
          <w:color w:val="auto"/>
          <w:sz w:val="32"/>
          <w:szCs w:val="32"/>
        </w:rPr>
        <w:t>。信用合规部门牵头负责全企业</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管理工作，及时识别、预警、评估、处置</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；其他业务部门配合做好</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应对，及时采取有效措施，主动纠正违法违规行为，防止</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发生。鼓励企业开展</w:t>
      </w:r>
      <w:r>
        <w:rPr>
          <w:rFonts w:hint="default" w:ascii="仿宋_GB2312" w:hAnsi="仿宋_GB2312" w:eastAsia="仿宋_GB2312" w:cs="仿宋_GB2312"/>
          <w:color w:val="auto"/>
          <w:sz w:val="32"/>
          <w:szCs w:val="32"/>
        </w:rPr>
        <w:t>信用违规风险</w:t>
      </w:r>
      <w:r>
        <w:rPr>
          <w:rFonts w:hint="eastAsia" w:ascii="仿宋_GB2312" w:hAnsi="仿宋_GB2312" w:eastAsia="仿宋_GB2312" w:cs="仿宋_GB2312"/>
          <w:color w:val="auto"/>
          <w:sz w:val="32"/>
          <w:szCs w:val="32"/>
        </w:rPr>
        <w:t>管理培训，熟悉处置规范，提高处置能力，预防处置过程中可能造成舆情传播等不良影响。</w:t>
      </w:r>
    </w:p>
    <w:sectPr>
      <w:pgSz w:w="11906" w:h="16838"/>
      <w:pgMar w:top="2098" w:right="1361" w:bottom="1985" w:left="170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A00002EF" w:usb1="4000204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SimSun">
    <w:panose1 w:val="02010600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2"/>
        <w:rFonts w:ascii="Batang" w:hAnsi="Batang" w:eastAsia="Batang"/>
        <w:sz w:val="28"/>
        <w:szCs w:val="28"/>
      </w:rPr>
    </w:pPr>
    <w:r>
      <w:rPr>
        <w:rStyle w:val="12"/>
        <w:rFonts w:hint="eastAsia" w:ascii="Batang" w:hAnsi="Batang" w:eastAsia="Batang"/>
        <w:sz w:val="28"/>
        <w:szCs w:val="28"/>
      </w:rPr>
      <w:t>—</w:t>
    </w:r>
    <w:r>
      <w:rPr>
        <w:rStyle w:val="12"/>
        <w:rFonts w:hint="eastAsia" w:ascii="Batang" w:hAnsi="Batang" w:eastAsia="SimSun"/>
        <w:sz w:val="28"/>
        <w:szCs w:val="28"/>
        <w:lang w:val="en-US" w:eastAsia="zh-CN"/>
      </w:rPr>
      <w:t xml:space="preserve"> </w:t>
    </w:r>
    <w:r>
      <w:rPr>
        <w:rStyle w:val="12"/>
        <w:rFonts w:hint="default" w:ascii="Times New Roman" w:hAnsi="Times New Roman" w:eastAsia="Batang" w:cs="Times New Roman"/>
        <w:sz w:val="28"/>
        <w:szCs w:val="28"/>
      </w:rPr>
      <w:fldChar w:fldCharType="begin"/>
    </w:r>
    <w:r>
      <w:rPr>
        <w:rStyle w:val="12"/>
        <w:rFonts w:hint="default" w:ascii="Times New Roman" w:hAnsi="Times New Roman" w:eastAsia="Batang" w:cs="Times New Roman"/>
        <w:sz w:val="28"/>
        <w:szCs w:val="28"/>
      </w:rPr>
      <w:instrText xml:space="preserve">PAGE  </w:instrText>
    </w:r>
    <w:r>
      <w:rPr>
        <w:rStyle w:val="12"/>
        <w:rFonts w:hint="default" w:ascii="Times New Roman" w:hAnsi="Times New Roman" w:eastAsia="Batang" w:cs="Times New Roman"/>
        <w:sz w:val="28"/>
        <w:szCs w:val="28"/>
      </w:rPr>
      <w:fldChar w:fldCharType="separate"/>
    </w:r>
    <w:r>
      <w:rPr>
        <w:rStyle w:val="12"/>
        <w:rFonts w:hint="default" w:ascii="Times New Roman" w:hAnsi="Times New Roman" w:eastAsia="Batang" w:cs="Times New Roman"/>
        <w:sz w:val="28"/>
        <w:szCs w:val="28"/>
      </w:rPr>
      <w:t>8</w:t>
    </w:r>
    <w:r>
      <w:rPr>
        <w:rStyle w:val="12"/>
        <w:rFonts w:hint="default" w:ascii="Times New Roman" w:hAnsi="Times New Roman" w:eastAsia="Batang" w:cs="Times New Roman"/>
        <w:sz w:val="28"/>
        <w:szCs w:val="28"/>
      </w:rPr>
      <w:fldChar w:fldCharType="end"/>
    </w:r>
    <w:r>
      <w:rPr>
        <w:rStyle w:val="12"/>
        <w:rFonts w:hint="eastAsia" w:ascii="Batang" w:hAnsi="Batang" w:eastAsia="SimSun"/>
        <w:sz w:val="28"/>
        <w:szCs w:val="28"/>
        <w:lang w:val="en-US" w:eastAsia="zh-CN"/>
      </w:rPr>
      <w:t xml:space="preserve"> </w:t>
    </w:r>
    <w:r>
      <w:rPr>
        <w:rStyle w:val="12"/>
        <w:rFonts w:hint="eastAsia" w:ascii="Batang" w:hAnsi="Batang" w:eastAsia="Batang"/>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2"/>
        <w:rFonts w:ascii="Batang" w:hAnsi="Batang" w:eastAsia="Batang"/>
        <w:sz w:val="28"/>
        <w:szCs w:val="28"/>
      </w:rPr>
    </w:pPr>
    <w:r>
      <w:rPr>
        <w:rStyle w:val="12"/>
        <w:rFonts w:hint="eastAsia" w:ascii="Batang" w:hAnsi="Batang" w:eastAsia="Batang"/>
        <w:sz w:val="28"/>
        <w:szCs w:val="28"/>
      </w:rPr>
      <w:t>—</w:t>
    </w:r>
    <w:r>
      <w:rPr>
        <w:rStyle w:val="12"/>
        <w:rFonts w:hint="eastAsia" w:ascii="Batang" w:hAnsi="Batang" w:eastAsia="SimSun"/>
        <w:sz w:val="28"/>
        <w:szCs w:val="28"/>
        <w:lang w:val="en-US" w:eastAsia="zh-CN"/>
      </w:rPr>
      <w:t xml:space="preserve"> </w:t>
    </w:r>
    <w:r>
      <w:rPr>
        <w:rStyle w:val="12"/>
        <w:rFonts w:hint="default" w:ascii="Times New Roman" w:hAnsi="Times New Roman" w:eastAsia="Batang" w:cs="Times New Roman"/>
        <w:sz w:val="28"/>
        <w:szCs w:val="28"/>
      </w:rPr>
      <w:fldChar w:fldCharType="begin"/>
    </w:r>
    <w:r>
      <w:rPr>
        <w:rStyle w:val="12"/>
        <w:rFonts w:hint="default" w:ascii="Times New Roman" w:hAnsi="Times New Roman" w:eastAsia="Batang" w:cs="Times New Roman"/>
        <w:sz w:val="28"/>
        <w:szCs w:val="28"/>
      </w:rPr>
      <w:instrText xml:space="preserve">PAGE  </w:instrText>
    </w:r>
    <w:r>
      <w:rPr>
        <w:rStyle w:val="12"/>
        <w:rFonts w:hint="default" w:ascii="Times New Roman" w:hAnsi="Times New Roman" w:eastAsia="Batang" w:cs="Times New Roman"/>
        <w:sz w:val="28"/>
        <w:szCs w:val="28"/>
      </w:rPr>
      <w:fldChar w:fldCharType="separate"/>
    </w:r>
    <w:r>
      <w:rPr>
        <w:rStyle w:val="12"/>
        <w:rFonts w:hint="default" w:ascii="Times New Roman" w:hAnsi="Times New Roman" w:eastAsia="Batang" w:cs="Times New Roman"/>
        <w:sz w:val="28"/>
        <w:szCs w:val="28"/>
      </w:rPr>
      <w:t>10</w:t>
    </w:r>
    <w:r>
      <w:rPr>
        <w:rStyle w:val="12"/>
        <w:rFonts w:hint="default" w:ascii="Times New Roman" w:hAnsi="Times New Roman" w:eastAsia="Batang" w:cs="Times New Roman"/>
        <w:sz w:val="28"/>
        <w:szCs w:val="28"/>
      </w:rPr>
      <w:fldChar w:fldCharType="end"/>
    </w:r>
    <w:r>
      <w:rPr>
        <w:rStyle w:val="12"/>
        <w:rFonts w:hint="eastAsia" w:ascii="Batang" w:hAnsi="Batang" w:eastAsia="SimSun"/>
        <w:sz w:val="28"/>
        <w:szCs w:val="28"/>
        <w:lang w:val="en-US" w:eastAsia="zh-CN"/>
      </w:rPr>
      <w:t xml:space="preserve"> </w:t>
    </w:r>
    <w:r>
      <w:rPr>
        <w:rStyle w:val="12"/>
        <w:rFonts w:hint="eastAsia" w:ascii="Batang" w:hAnsi="Batang" w:eastAsia="Batang"/>
        <w:sz w:val="28"/>
        <w:szCs w:val="28"/>
      </w:rPr>
      <w:t>—</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2"/>
        <w:rFonts w:ascii="Batang" w:hAnsi="Batang" w:eastAsia="Batang"/>
        <w:sz w:val="28"/>
        <w:szCs w:val="28"/>
      </w:rPr>
    </w:pPr>
    <w:r>
      <w:rPr>
        <w:rStyle w:val="12"/>
        <w:rFonts w:hint="eastAsia" w:ascii="Batang" w:hAnsi="Batang" w:eastAsia="Batang"/>
        <w:sz w:val="28"/>
        <w:szCs w:val="28"/>
      </w:rPr>
      <w:t>—</w:t>
    </w:r>
    <w:r>
      <w:rPr>
        <w:rStyle w:val="12"/>
        <w:rFonts w:hint="eastAsia" w:ascii="Batang" w:hAnsi="Batang" w:eastAsia="SimSun"/>
        <w:sz w:val="28"/>
        <w:szCs w:val="28"/>
        <w:lang w:val="en-US" w:eastAsia="zh-CN"/>
      </w:rPr>
      <w:t xml:space="preserve"> </w:t>
    </w:r>
    <w:r>
      <w:rPr>
        <w:rStyle w:val="12"/>
        <w:rFonts w:hint="default" w:ascii="Times New Roman" w:hAnsi="Times New Roman" w:eastAsia="Batang" w:cs="Times New Roman"/>
        <w:sz w:val="28"/>
        <w:szCs w:val="28"/>
      </w:rPr>
      <w:fldChar w:fldCharType="begin"/>
    </w:r>
    <w:r>
      <w:rPr>
        <w:rStyle w:val="12"/>
        <w:rFonts w:hint="default" w:ascii="Times New Roman" w:hAnsi="Times New Roman" w:eastAsia="Batang" w:cs="Times New Roman"/>
        <w:sz w:val="28"/>
        <w:szCs w:val="28"/>
      </w:rPr>
      <w:instrText xml:space="preserve">PAGE  </w:instrText>
    </w:r>
    <w:r>
      <w:rPr>
        <w:rStyle w:val="12"/>
        <w:rFonts w:hint="default" w:ascii="Times New Roman" w:hAnsi="Times New Roman" w:eastAsia="Batang" w:cs="Times New Roman"/>
        <w:sz w:val="28"/>
        <w:szCs w:val="28"/>
      </w:rPr>
      <w:fldChar w:fldCharType="separate"/>
    </w:r>
    <w:r>
      <w:rPr>
        <w:rStyle w:val="12"/>
        <w:rFonts w:hint="default" w:ascii="Times New Roman" w:hAnsi="Times New Roman" w:eastAsia="Batang" w:cs="Times New Roman"/>
        <w:sz w:val="28"/>
        <w:szCs w:val="28"/>
      </w:rPr>
      <w:t>20</w:t>
    </w:r>
    <w:r>
      <w:rPr>
        <w:rStyle w:val="12"/>
        <w:rFonts w:hint="default" w:ascii="Times New Roman" w:hAnsi="Times New Roman" w:eastAsia="Batang" w:cs="Times New Roman"/>
        <w:sz w:val="28"/>
        <w:szCs w:val="28"/>
      </w:rPr>
      <w:fldChar w:fldCharType="end"/>
    </w:r>
    <w:r>
      <w:rPr>
        <w:rStyle w:val="12"/>
        <w:rFonts w:hint="eastAsia" w:ascii="Batang" w:hAnsi="Batang" w:eastAsia="SimSun"/>
        <w:sz w:val="28"/>
        <w:szCs w:val="28"/>
        <w:lang w:val="en-US" w:eastAsia="zh-CN"/>
      </w:rPr>
      <w:t xml:space="preserve"> </w:t>
    </w:r>
    <w:r>
      <w:rPr>
        <w:rStyle w:val="12"/>
        <w:rFonts w:hint="eastAsia" w:ascii="Batang" w:hAnsi="Batang" w:eastAsia="Batang"/>
        <w:sz w:val="28"/>
        <w:szCs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zIwNjk2YjA4Yzc4ZDg1MDg0NzIwYjVlNGJmMjEifQ=="/>
  </w:docVars>
  <w:rsids>
    <w:rsidRoot w:val="00FF340F"/>
    <w:rsid w:val="00013F01"/>
    <w:rsid w:val="0003231E"/>
    <w:rsid w:val="00041FA7"/>
    <w:rsid w:val="000B1D87"/>
    <w:rsid w:val="00100031"/>
    <w:rsid w:val="00157795"/>
    <w:rsid w:val="00162987"/>
    <w:rsid w:val="00165050"/>
    <w:rsid w:val="001A1D8A"/>
    <w:rsid w:val="001F62EC"/>
    <w:rsid w:val="00202F10"/>
    <w:rsid w:val="00213205"/>
    <w:rsid w:val="00221DFE"/>
    <w:rsid w:val="002D00B5"/>
    <w:rsid w:val="00330702"/>
    <w:rsid w:val="0036212B"/>
    <w:rsid w:val="00362900"/>
    <w:rsid w:val="003632B1"/>
    <w:rsid w:val="0041397A"/>
    <w:rsid w:val="00435C3F"/>
    <w:rsid w:val="0047490E"/>
    <w:rsid w:val="004A6289"/>
    <w:rsid w:val="004D4AFB"/>
    <w:rsid w:val="004E221D"/>
    <w:rsid w:val="0050710D"/>
    <w:rsid w:val="005506CE"/>
    <w:rsid w:val="00591810"/>
    <w:rsid w:val="005C58BB"/>
    <w:rsid w:val="00635B89"/>
    <w:rsid w:val="006944AA"/>
    <w:rsid w:val="006B03ED"/>
    <w:rsid w:val="006B6CB8"/>
    <w:rsid w:val="006C6A64"/>
    <w:rsid w:val="006F355D"/>
    <w:rsid w:val="00735429"/>
    <w:rsid w:val="007E1ED4"/>
    <w:rsid w:val="008140B9"/>
    <w:rsid w:val="00830FFD"/>
    <w:rsid w:val="008507EC"/>
    <w:rsid w:val="008526DD"/>
    <w:rsid w:val="0087068C"/>
    <w:rsid w:val="008C2A94"/>
    <w:rsid w:val="008D2908"/>
    <w:rsid w:val="008E2D02"/>
    <w:rsid w:val="00961218"/>
    <w:rsid w:val="0097079C"/>
    <w:rsid w:val="00973C47"/>
    <w:rsid w:val="00994248"/>
    <w:rsid w:val="009A3A2E"/>
    <w:rsid w:val="009D3E86"/>
    <w:rsid w:val="009F05FC"/>
    <w:rsid w:val="00A13EFB"/>
    <w:rsid w:val="00A2122A"/>
    <w:rsid w:val="00A50750"/>
    <w:rsid w:val="00A77203"/>
    <w:rsid w:val="00AD5B8A"/>
    <w:rsid w:val="00B046FD"/>
    <w:rsid w:val="00B1028B"/>
    <w:rsid w:val="00B2747B"/>
    <w:rsid w:val="00B473BB"/>
    <w:rsid w:val="00B5093C"/>
    <w:rsid w:val="00C13C57"/>
    <w:rsid w:val="00C9690A"/>
    <w:rsid w:val="00CA1580"/>
    <w:rsid w:val="00CD745B"/>
    <w:rsid w:val="00D03B6B"/>
    <w:rsid w:val="00D449CF"/>
    <w:rsid w:val="00D47515"/>
    <w:rsid w:val="00D56283"/>
    <w:rsid w:val="00D61CB7"/>
    <w:rsid w:val="00D817BE"/>
    <w:rsid w:val="00D9438D"/>
    <w:rsid w:val="00D94ADD"/>
    <w:rsid w:val="00DC0B71"/>
    <w:rsid w:val="00DD3FC5"/>
    <w:rsid w:val="00DE735C"/>
    <w:rsid w:val="00DF448D"/>
    <w:rsid w:val="00E140B3"/>
    <w:rsid w:val="00E371FE"/>
    <w:rsid w:val="00E7725C"/>
    <w:rsid w:val="00E85EDD"/>
    <w:rsid w:val="00EC6D5B"/>
    <w:rsid w:val="00F1017B"/>
    <w:rsid w:val="00F22871"/>
    <w:rsid w:val="00F238AF"/>
    <w:rsid w:val="00F30D0F"/>
    <w:rsid w:val="00F372B5"/>
    <w:rsid w:val="00F55220"/>
    <w:rsid w:val="00F64C8B"/>
    <w:rsid w:val="00F739C8"/>
    <w:rsid w:val="00F73D83"/>
    <w:rsid w:val="00FA527E"/>
    <w:rsid w:val="00FF340F"/>
    <w:rsid w:val="00FF389E"/>
    <w:rsid w:val="00FF528C"/>
    <w:rsid w:val="02251150"/>
    <w:rsid w:val="029167E5"/>
    <w:rsid w:val="02994018"/>
    <w:rsid w:val="02A4476B"/>
    <w:rsid w:val="02C646E1"/>
    <w:rsid w:val="036F0FAC"/>
    <w:rsid w:val="03810F1E"/>
    <w:rsid w:val="03B52520"/>
    <w:rsid w:val="03FE53F7"/>
    <w:rsid w:val="0442423B"/>
    <w:rsid w:val="045D72C7"/>
    <w:rsid w:val="04CE5ACF"/>
    <w:rsid w:val="05171224"/>
    <w:rsid w:val="054B5371"/>
    <w:rsid w:val="05546C3B"/>
    <w:rsid w:val="05983434"/>
    <w:rsid w:val="05CF1AFF"/>
    <w:rsid w:val="0621607B"/>
    <w:rsid w:val="063969B5"/>
    <w:rsid w:val="063D4CBA"/>
    <w:rsid w:val="064A75A3"/>
    <w:rsid w:val="06DC2725"/>
    <w:rsid w:val="07034156"/>
    <w:rsid w:val="075229E7"/>
    <w:rsid w:val="07AB3588"/>
    <w:rsid w:val="08055CAB"/>
    <w:rsid w:val="08843074"/>
    <w:rsid w:val="08DC6B0F"/>
    <w:rsid w:val="0978780C"/>
    <w:rsid w:val="09EC6321"/>
    <w:rsid w:val="0A03446D"/>
    <w:rsid w:val="0A153056"/>
    <w:rsid w:val="0AA51080"/>
    <w:rsid w:val="0AD16319"/>
    <w:rsid w:val="0AFA625F"/>
    <w:rsid w:val="0AFD0EBC"/>
    <w:rsid w:val="0B61269D"/>
    <w:rsid w:val="0B785A87"/>
    <w:rsid w:val="0BC71D84"/>
    <w:rsid w:val="0C082751"/>
    <w:rsid w:val="0C0A7D34"/>
    <w:rsid w:val="0C6A432F"/>
    <w:rsid w:val="0CB0539E"/>
    <w:rsid w:val="0CB37840"/>
    <w:rsid w:val="0D1C7D94"/>
    <w:rsid w:val="0DCD726B"/>
    <w:rsid w:val="0DE25BEA"/>
    <w:rsid w:val="0E1704E7"/>
    <w:rsid w:val="0E19425F"/>
    <w:rsid w:val="0E24064F"/>
    <w:rsid w:val="0E726C04"/>
    <w:rsid w:val="0F24110D"/>
    <w:rsid w:val="0F2D6582"/>
    <w:rsid w:val="0F4265D9"/>
    <w:rsid w:val="0F5D253D"/>
    <w:rsid w:val="0F6239E3"/>
    <w:rsid w:val="0F6634D4"/>
    <w:rsid w:val="0F933B9D"/>
    <w:rsid w:val="0FE76A3D"/>
    <w:rsid w:val="10855BDB"/>
    <w:rsid w:val="108654B0"/>
    <w:rsid w:val="108716B9"/>
    <w:rsid w:val="10916C0C"/>
    <w:rsid w:val="10CA7A92"/>
    <w:rsid w:val="10D17073"/>
    <w:rsid w:val="11E06E41"/>
    <w:rsid w:val="11EE155E"/>
    <w:rsid w:val="12853F12"/>
    <w:rsid w:val="13144298"/>
    <w:rsid w:val="13144FF5"/>
    <w:rsid w:val="1347361C"/>
    <w:rsid w:val="13581385"/>
    <w:rsid w:val="135D2E40"/>
    <w:rsid w:val="139B74C4"/>
    <w:rsid w:val="13A91BE1"/>
    <w:rsid w:val="13AE7DBD"/>
    <w:rsid w:val="13E72479"/>
    <w:rsid w:val="140754C6"/>
    <w:rsid w:val="141F1EA3"/>
    <w:rsid w:val="1434672B"/>
    <w:rsid w:val="143C4803"/>
    <w:rsid w:val="1487549A"/>
    <w:rsid w:val="14A32AD4"/>
    <w:rsid w:val="14B051F1"/>
    <w:rsid w:val="14BC76F2"/>
    <w:rsid w:val="14D64C58"/>
    <w:rsid w:val="14DD6EA8"/>
    <w:rsid w:val="14F450DE"/>
    <w:rsid w:val="15130C6D"/>
    <w:rsid w:val="154E4EBC"/>
    <w:rsid w:val="159E63D7"/>
    <w:rsid w:val="15FF3D3A"/>
    <w:rsid w:val="16104199"/>
    <w:rsid w:val="16133C89"/>
    <w:rsid w:val="16F75359"/>
    <w:rsid w:val="171C6A7C"/>
    <w:rsid w:val="1726732E"/>
    <w:rsid w:val="17497826"/>
    <w:rsid w:val="17546E8A"/>
    <w:rsid w:val="17740D34"/>
    <w:rsid w:val="178B1B9E"/>
    <w:rsid w:val="178B7A91"/>
    <w:rsid w:val="178D5376"/>
    <w:rsid w:val="17D905BB"/>
    <w:rsid w:val="17E504C6"/>
    <w:rsid w:val="17E9701D"/>
    <w:rsid w:val="18A46E1B"/>
    <w:rsid w:val="18B06505"/>
    <w:rsid w:val="18E15979"/>
    <w:rsid w:val="18E5190D"/>
    <w:rsid w:val="19033C72"/>
    <w:rsid w:val="19193365"/>
    <w:rsid w:val="191E097B"/>
    <w:rsid w:val="19D0793E"/>
    <w:rsid w:val="19DF6351"/>
    <w:rsid w:val="1A0F2BCC"/>
    <w:rsid w:val="1A1A3838"/>
    <w:rsid w:val="1B083691"/>
    <w:rsid w:val="1B1262BE"/>
    <w:rsid w:val="1B177D78"/>
    <w:rsid w:val="1B193AF0"/>
    <w:rsid w:val="1B2B55D1"/>
    <w:rsid w:val="1B611185"/>
    <w:rsid w:val="1B66734F"/>
    <w:rsid w:val="1B8847D2"/>
    <w:rsid w:val="1BA80ED5"/>
    <w:rsid w:val="1BF956CF"/>
    <w:rsid w:val="1C0A3804"/>
    <w:rsid w:val="1C1442B7"/>
    <w:rsid w:val="1C1B5DCA"/>
    <w:rsid w:val="1C6E1C1A"/>
    <w:rsid w:val="1C9C6787"/>
    <w:rsid w:val="1CE75528"/>
    <w:rsid w:val="1CE81077"/>
    <w:rsid w:val="1D0764C6"/>
    <w:rsid w:val="1D151F85"/>
    <w:rsid w:val="1D460656"/>
    <w:rsid w:val="1D4D5CD3"/>
    <w:rsid w:val="1D63115F"/>
    <w:rsid w:val="1D792624"/>
    <w:rsid w:val="1D8D05A0"/>
    <w:rsid w:val="1D8E4928"/>
    <w:rsid w:val="1DC932FC"/>
    <w:rsid w:val="1E075E82"/>
    <w:rsid w:val="1E0E7789"/>
    <w:rsid w:val="1E360515"/>
    <w:rsid w:val="1E490D43"/>
    <w:rsid w:val="1E715C94"/>
    <w:rsid w:val="1EC57AEB"/>
    <w:rsid w:val="1F1B770B"/>
    <w:rsid w:val="1F3B62FE"/>
    <w:rsid w:val="1F4153C3"/>
    <w:rsid w:val="1F572AB9"/>
    <w:rsid w:val="1F5F584A"/>
    <w:rsid w:val="1F6B7034"/>
    <w:rsid w:val="1F7237CF"/>
    <w:rsid w:val="1FD259E6"/>
    <w:rsid w:val="20245CF2"/>
    <w:rsid w:val="2040567B"/>
    <w:rsid w:val="204D78FC"/>
    <w:rsid w:val="206F5F60"/>
    <w:rsid w:val="20932292"/>
    <w:rsid w:val="20A83220"/>
    <w:rsid w:val="20EC135F"/>
    <w:rsid w:val="20FD254A"/>
    <w:rsid w:val="21413899"/>
    <w:rsid w:val="21425423"/>
    <w:rsid w:val="21821CC3"/>
    <w:rsid w:val="21945B26"/>
    <w:rsid w:val="21A533EA"/>
    <w:rsid w:val="22586564"/>
    <w:rsid w:val="22B10AB2"/>
    <w:rsid w:val="22DA2520"/>
    <w:rsid w:val="22F56BF1"/>
    <w:rsid w:val="23447230"/>
    <w:rsid w:val="2357302A"/>
    <w:rsid w:val="237D6BE6"/>
    <w:rsid w:val="23A16EA8"/>
    <w:rsid w:val="23DA7B95"/>
    <w:rsid w:val="240E1384"/>
    <w:rsid w:val="24147964"/>
    <w:rsid w:val="243825BA"/>
    <w:rsid w:val="247C0C4C"/>
    <w:rsid w:val="24A625B5"/>
    <w:rsid w:val="24F232E9"/>
    <w:rsid w:val="252B4106"/>
    <w:rsid w:val="253554F5"/>
    <w:rsid w:val="25987D07"/>
    <w:rsid w:val="25EE161A"/>
    <w:rsid w:val="26072959"/>
    <w:rsid w:val="26105640"/>
    <w:rsid w:val="263A1C3A"/>
    <w:rsid w:val="265B7C9A"/>
    <w:rsid w:val="26656FD4"/>
    <w:rsid w:val="26756E44"/>
    <w:rsid w:val="26A76454"/>
    <w:rsid w:val="26AD1B2A"/>
    <w:rsid w:val="26AE0145"/>
    <w:rsid w:val="26BE19EF"/>
    <w:rsid w:val="26BE6278"/>
    <w:rsid w:val="26D340FF"/>
    <w:rsid w:val="270238D8"/>
    <w:rsid w:val="27FE6547"/>
    <w:rsid w:val="2814263E"/>
    <w:rsid w:val="283030C9"/>
    <w:rsid w:val="285C4483"/>
    <w:rsid w:val="28A206FD"/>
    <w:rsid w:val="293C41FD"/>
    <w:rsid w:val="29AC18CA"/>
    <w:rsid w:val="29B474AA"/>
    <w:rsid w:val="2A067935"/>
    <w:rsid w:val="2A37582A"/>
    <w:rsid w:val="2AA902C1"/>
    <w:rsid w:val="2AB00E6E"/>
    <w:rsid w:val="2ADF1DBD"/>
    <w:rsid w:val="2B1F50E6"/>
    <w:rsid w:val="2B724B56"/>
    <w:rsid w:val="2B822FEC"/>
    <w:rsid w:val="2B824D9A"/>
    <w:rsid w:val="2C12534F"/>
    <w:rsid w:val="2C2920BC"/>
    <w:rsid w:val="2C6D2B81"/>
    <w:rsid w:val="2CC87124"/>
    <w:rsid w:val="2CCF0515"/>
    <w:rsid w:val="2CD61AFD"/>
    <w:rsid w:val="2D5C786C"/>
    <w:rsid w:val="2DBB0A37"/>
    <w:rsid w:val="2E2F3590"/>
    <w:rsid w:val="2E555B28"/>
    <w:rsid w:val="2EC4290F"/>
    <w:rsid w:val="2EE72EED"/>
    <w:rsid w:val="2F69E9C4"/>
    <w:rsid w:val="2F730F8A"/>
    <w:rsid w:val="2F9C076C"/>
    <w:rsid w:val="2FAA6AFF"/>
    <w:rsid w:val="30055F99"/>
    <w:rsid w:val="302A63B5"/>
    <w:rsid w:val="30474804"/>
    <w:rsid w:val="30654C8A"/>
    <w:rsid w:val="306C7E5F"/>
    <w:rsid w:val="307D0225"/>
    <w:rsid w:val="30D7397A"/>
    <w:rsid w:val="31013646"/>
    <w:rsid w:val="313528AE"/>
    <w:rsid w:val="322C1F03"/>
    <w:rsid w:val="3235001A"/>
    <w:rsid w:val="32562ADC"/>
    <w:rsid w:val="329B2BE5"/>
    <w:rsid w:val="33042538"/>
    <w:rsid w:val="331C3D26"/>
    <w:rsid w:val="3355548A"/>
    <w:rsid w:val="339C6C14"/>
    <w:rsid w:val="33BA1B5D"/>
    <w:rsid w:val="33BC27B9"/>
    <w:rsid w:val="33FE7406"/>
    <w:rsid w:val="34124261"/>
    <w:rsid w:val="343D4533"/>
    <w:rsid w:val="347328D5"/>
    <w:rsid w:val="34943294"/>
    <w:rsid w:val="34EB63EC"/>
    <w:rsid w:val="34F34F5A"/>
    <w:rsid w:val="34FD1935"/>
    <w:rsid w:val="350500DC"/>
    <w:rsid w:val="351F075D"/>
    <w:rsid w:val="35AE747B"/>
    <w:rsid w:val="3608233F"/>
    <w:rsid w:val="368810C8"/>
    <w:rsid w:val="37113A27"/>
    <w:rsid w:val="375605DA"/>
    <w:rsid w:val="37660E68"/>
    <w:rsid w:val="37884F68"/>
    <w:rsid w:val="37B67AA2"/>
    <w:rsid w:val="37D03331"/>
    <w:rsid w:val="37D72911"/>
    <w:rsid w:val="37DA41AF"/>
    <w:rsid w:val="37F25055"/>
    <w:rsid w:val="37F96B7F"/>
    <w:rsid w:val="38086A85"/>
    <w:rsid w:val="3814321D"/>
    <w:rsid w:val="38172D0E"/>
    <w:rsid w:val="384415DF"/>
    <w:rsid w:val="384F5F75"/>
    <w:rsid w:val="385B4D72"/>
    <w:rsid w:val="393D56E6"/>
    <w:rsid w:val="3979263B"/>
    <w:rsid w:val="39AD13EA"/>
    <w:rsid w:val="39B45DFB"/>
    <w:rsid w:val="39EA487D"/>
    <w:rsid w:val="3A46479B"/>
    <w:rsid w:val="3A5A5133"/>
    <w:rsid w:val="3A967DE5"/>
    <w:rsid w:val="3AC41D09"/>
    <w:rsid w:val="3AD0485E"/>
    <w:rsid w:val="3AD46C94"/>
    <w:rsid w:val="3AE55F3A"/>
    <w:rsid w:val="3B844B5E"/>
    <w:rsid w:val="3B8479E2"/>
    <w:rsid w:val="3BF33A92"/>
    <w:rsid w:val="3BF34868"/>
    <w:rsid w:val="3BF64C23"/>
    <w:rsid w:val="3C067B77"/>
    <w:rsid w:val="3C3D7709"/>
    <w:rsid w:val="3CB06EC9"/>
    <w:rsid w:val="3CF33D49"/>
    <w:rsid w:val="3D6A281C"/>
    <w:rsid w:val="3D712EC0"/>
    <w:rsid w:val="3D8B6BDA"/>
    <w:rsid w:val="3D9B5520"/>
    <w:rsid w:val="3E1A70B4"/>
    <w:rsid w:val="3E261EFC"/>
    <w:rsid w:val="3EBE3EE3"/>
    <w:rsid w:val="3ECA2888"/>
    <w:rsid w:val="3ECC2AA4"/>
    <w:rsid w:val="3ED73205"/>
    <w:rsid w:val="3ED94533"/>
    <w:rsid w:val="3F3B5533"/>
    <w:rsid w:val="3F446ADE"/>
    <w:rsid w:val="3FA7193B"/>
    <w:rsid w:val="40D55514"/>
    <w:rsid w:val="40DA0D7C"/>
    <w:rsid w:val="41160006"/>
    <w:rsid w:val="412344D1"/>
    <w:rsid w:val="4143261A"/>
    <w:rsid w:val="414508EB"/>
    <w:rsid w:val="418D5DEE"/>
    <w:rsid w:val="41D57EC1"/>
    <w:rsid w:val="41FC2E8B"/>
    <w:rsid w:val="421856E0"/>
    <w:rsid w:val="421C5EE0"/>
    <w:rsid w:val="42224001"/>
    <w:rsid w:val="42756FAE"/>
    <w:rsid w:val="43346A26"/>
    <w:rsid w:val="43F62734"/>
    <w:rsid w:val="43FE736A"/>
    <w:rsid w:val="44054362"/>
    <w:rsid w:val="44BF2763"/>
    <w:rsid w:val="45321187"/>
    <w:rsid w:val="454B2248"/>
    <w:rsid w:val="455235D7"/>
    <w:rsid w:val="45B82804"/>
    <w:rsid w:val="463E3B5B"/>
    <w:rsid w:val="46D7100C"/>
    <w:rsid w:val="47302BEE"/>
    <w:rsid w:val="478E5405"/>
    <w:rsid w:val="47B26A1C"/>
    <w:rsid w:val="47B42327"/>
    <w:rsid w:val="47C472B5"/>
    <w:rsid w:val="47D74267"/>
    <w:rsid w:val="47E03F69"/>
    <w:rsid w:val="481C37D7"/>
    <w:rsid w:val="483B587D"/>
    <w:rsid w:val="4864022E"/>
    <w:rsid w:val="48887632"/>
    <w:rsid w:val="489932CB"/>
    <w:rsid w:val="497C4702"/>
    <w:rsid w:val="4A353E45"/>
    <w:rsid w:val="4ABA4B16"/>
    <w:rsid w:val="4AE922E8"/>
    <w:rsid w:val="4AEB2504"/>
    <w:rsid w:val="4B3B68BB"/>
    <w:rsid w:val="4B4B4D50"/>
    <w:rsid w:val="4B7F1695"/>
    <w:rsid w:val="4C1C049B"/>
    <w:rsid w:val="4CA13A5F"/>
    <w:rsid w:val="4D227D33"/>
    <w:rsid w:val="4D510618"/>
    <w:rsid w:val="4D52686A"/>
    <w:rsid w:val="4D5C3245"/>
    <w:rsid w:val="4D697710"/>
    <w:rsid w:val="4D6D36A4"/>
    <w:rsid w:val="4D7F4692"/>
    <w:rsid w:val="4DAB7D28"/>
    <w:rsid w:val="4DFA34D0"/>
    <w:rsid w:val="4E037B64"/>
    <w:rsid w:val="4E3221F7"/>
    <w:rsid w:val="4E5914D1"/>
    <w:rsid w:val="4E5B79A0"/>
    <w:rsid w:val="4E7E368F"/>
    <w:rsid w:val="4EA71B77"/>
    <w:rsid w:val="4ECE1439"/>
    <w:rsid w:val="4ED80FF1"/>
    <w:rsid w:val="4F756840"/>
    <w:rsid w:val="4F8B6BE0"/>
    <w:rsid w:val="4FA7451F"/>
    <w:rsid w:val="50242014"/>
    <w:rsid w:val="505E1082"/>
    <w:rsid w:val="50615016"/>
    <w:rsid w:val="510C4F82"/>
    <w:rsid w:val="51453FF0"/>
    <w:rsid w:val="517A013D"/>
    <w:rsid w:val="51BA6FAC"/>
    <w:rsid w:val="51E43809"/>
    <w:rsid w:val="529E7E5B"/>
    <w:rsid w:val="52B114C6"/>
    <w:rsid w:val="52C07ADB"/>
    <w:rsid w:val="530147E8"/>
    <w:rsid w:val="53114AD1"/>
    <w:rsid w:val="531225F7"/>
    <w:rsid w:val="53164136"/>
    <w:rsid w:val="53470967"/>
    <w:rsid w:val="535A5F48"/>
    <w:rsid w:val="536203AC"/>
    <w:rsid w:val="53650979"/>
    <w:rsid w:val="54057819"/>
    <w:rsid w:val="542A4099"/>
    <w:rsid w:val="545F361A"/>
    <w:rsid w:val="550B724C"/>
    <w:rsid w:val="551D728F"/>
    <w:rsid w:val="556A1203"/>
    <w:rsid w:val="557D01FC"/>
    <w:rsid w:val="559D264C"/>
    <w:rsid w:val="55D23A6E"/>
    <w:rsid w:val="55D425E1"/>
    <w:rsid w:val="55D50038"/>
    <w:rsid w:val="56021A16"/>
    <w:rsid w:val="561D19DF"/>
    <w:rsid w:val="56231067"/>
    <w:rsid w:val="562A7A9F"/>
    <w:rsid w:val="5632548A"/>
    <w:rsid w:val="567C04B4"/>
    <w:rsid w:val="56BF65F2"/>
    <w:rsid w:val="56DB3939"/>
    <w:rsid w:val="57593B0B"/>
    <w:rsid w:val="57627881"/>
    <w:rsid w:val="57636ED5"/>
    <w:rsid w:val="576E05C3"/>
    <w:rsid w:val="577D03FF"/>
    <w:rsid w:val="57C87729"/>
    <w:rsid w:val="57CE709F"/>
    <w:rsid w:val="58466FCB"/>
    <w:rsid w:val="58727098"/>
    <w:rsid w:val="58A41021"/>
    <w:rsid w:val="590429E2"/>
    <w:rsid w:val="592E59F9"/>
    <w:rsid w:val="596558C6"/>
    <w:rsid w:val="59713809"/>
    <w:rsid w:val="599C2C1B"/>
    <w:rsid w:val="5A2F6DAE"/>
    <w:rsid w:val="5AA856F5"/>
    <w:rsid w:val="5B00299D"/>
    <w:rsid w:val="5B2D7FCE"/>
    <w:rsid w:val="5B44356A"/>
    <w:rsid w:val="5BB57FC4"/>
    <w:rsid w:val="5C960E0E"/>
    <w:rsid w:val="5CC81FE1"/>
    <w:rsid w:val="5CCB1FD5"/>
    <w:rsid w:val="5CDA7A5D"/>
    <w:rsid w:val="5D69550A"/>
    <w:rsid w:val="5D6A7D48"/>
    <w:rsid w:val="5E0241D1"/>
    <w:rsid w:val="5E323B4E"/>
    <w:rsid w:val="5E3D49CC"/>
    <w:rsid w:val="5E6C3504"/>
    <w:rsid w:val="5E743972"/>
    <w:rsid w:val="5E9D546B"/>
    <w:rsid w:val="5EAE2E7F"/>
    <w:rsid w:val="5EE684BB"/>
    <w:rsid w:val="5EF86609"/>
    <w:rsid w:val="5F062A69"/>
    <w:rsid w:val="5F3F0226"/>
    <w:rsid w:val="5F8F685C"/>
    <w:rsid w:val="5FA02DB5"/>
    <w:rsid w:val="5FCF4E89"/>
    <w:rsid w:val="60D07D7A"/>
    <w:rsid w:val="61016585"/>
    <w:rsid w:val="613B0F6B"/>
    <w:rsid w:val="6143071E"/>
    <w:rsid w:val="61754771"/>
    <w:rsid w:val="61AD00BB"/>
    <w:rsid w:val="61D64443"/>
    <w:rsid w:val="626F5370"/>
    <w:rsid w:val="629B43B7"/>
    <w:rsid w:val="62D24654"/>
    <w:rsid w:val="630770E7"/>
    <w:rsid w:val="63626C83"/>
    <w:rsid w:val="636D42BE"/>
    <w:rsid w:val="637A3FCD"/>
    <w:rsid w:val="63E15DFA"/>
    <w:rsid w:val="640B21AC"/>
    <w:rsid w:val="6424211E"/>
    <w:rsid w:val="644A4A4D"/>
    <w:rsid w:val="64B209EB"/>
    <w:rsid w:val="64B96D77"/>
    <w:rsid w:val="65654D57"/>
    <w:rsid w:val="662605E1"/>
    <w:rsid w:val="66AB0941"/>
    <w:rsid w:val="66D61379"/>
    <w:rsid w:val="66ED0F5A"/>
    <w:rsid w:val="66F71345"/>
    <w:rsid w:val="67251405"/>
    <w:rsid w:val="67A1748B"/>
    <w:rsid w:val="67E819CA"/>
    <w:rsid w:val="68B47F81"/>
    <w:rsid w:val="68FC7374"/>
    <w:rsid w:val="68FD0A5E"/>
    <w:rsid w:val="695567B3"/>
    <w:rsid w:val="69B232A9"/>
    <w:rsid w:val="6A1A3E14"/>
    <w:rsid w:val="6A460108"/>
    <w:rsid w:val="6A505A87"/>
    <w:rsid w:val="6A8F4802"/>
    <w:rsid w:val="6A9A4F55"/>
    <w:rsid w:val="6AD70985"/>
    <w:rsid w:val="6ADC37BF"/>
    <w:rsid w:val="6AE126C6"/>
    <w:rsid w:val="6AFB57C6"/>
    <w:rsid w:val="6B010451"/>
    <w:rsid w:val="6B0A3E88"/>
    <w:rsid w:val="6B20545A"/>
    <w:rsid w:val="6B540BEF"/>
    <w:rsid w:val="6B5424E6"/>
    <w:rsid w:val="6B7F14D2"/>
    <w:rsid w:val="6B8F4E85"/>
    <w:rsid w:val="6C3513D9"/>
    <w:rsid w:val="6C3B6177"/>
    <w:rsid w:val="6C506213"/>
    <w:rsid w:val="6CA43285"/>
    <w:rsid w:val="6CD57E97"/>
    <w:rsid w:val="6D062D75"/>
    <w:rsid w:val="6D4473E6"/>
    <w:rsid w:val="6D8D0DA1"/>
    <w:rsid w:val="6D8D155E"/>
    <w:rsid w:val="6DBF0DBF"/>
    <w:rsid w:val="6E0664E4"/>
    <w:rsid w:val="6E0960D4"/>
    <w:rsid w:val="6E69AC65"/>
    <w:rsid w:val="6E98502A"/>
    <w:rsid w:val="6E98699D"/>
    <w:rsid w:val="6EC34AE0"/>
    <w:rsid w:val="6F0240F7"/>
    <w:rsid w:val="6F0662EC"/>
    <w:rsid w:val="6F2D45E9"/>
    <w:rsid w:val="6F532AB9"/>
    <w:rsid w:val="70343755"/>
    <w:rsid w:val="70ED4A35"/>
    <w:rsid w:val="713C4FB8"/>
    <w:rsid w:val="723510F9"/>
    <w:rsid w:val="725620A9"/>
    <w:rsid w:val="72E53A28"/>
    <w:rsid w:val="72F02E53"/>
    <w:rsid w:val="73335DD6"/>
    <w:rsid w:val="73612409"/>
    <w:rsid w:val="73816CB2"/>
    <w:rsid w:val="73A0182E"/>
    <w:rsid w:val="73D0037A"/>
    <w:rsid w:val="73F2195D"/>
    <w:rsid w:val="741932BB"/>
    <w:rsid w:val="746D1399"/>
    <w:rsid w:val="74D6302D"/>
    <w:rsid w:val="74E27C24"/>
    <w:rsid w:val="75581C94"/>
    <w:rsid w:val="75622B13"/>
    <w:rsid w:val="756248C1"/>
    <w:rsid w:val="757C3BD5"/>
    <w:rsid w:val="75AF6462"/>
    <w:rsid w:val="75B94E29"/>
    <w:rsid w:val="75F3E701"/>
    <w:rsid w:val="75FC2F67"/>
    <w:rsid w:val="760140DA"/>
    <w:rsid w:val="764566BC"/>
    <w:rsid w:val="77DFA62B"/>
    <w:rsid w:val="77F03805"/>
    <w:rsid w:val="7839399A"/>
    <w:rsid w:val="78414C61"/>
    <w:rsid w:val="78491D63"/>
    <w:rsid w:val="79294073"/>
    <w:rsid w:val="79781BC2"/>
    <w:rsid w:val="79BA5DDA"/>
    <w:rsid w:val="79BC4EE7"/>
    <w:rsid w:val="79C74718"/>
    <w:rsid w:val="79F71A7C"/>
    <w:rsid w:val="7A2111EE"/>
    <w:rsid w:val="7A6F4BF8"/>
    <w:rsid w:val="7A74494B"/>
    <w:rsid w:val="7AEC1ED4"/>
    <w:rsid w:val="7B3F329E"/>
    <w:rsid w:val="7BF24BF0"/>
    <w:rsid w:val="7BF26E3C"/>
    <w:rsid w:val="7C0A39B7"/>
    <w:rsid w:val="7C1F350C"/>
    <w:rsid w:val="7CB61DC8"/>
    <w:rsid w:val="7CD4373A"/>
    <w:rsid w:val="7D0E5A5A"/>
    <w:rsid w:val="7D626289"/>
    <w:rsid w:val="7D731D61"/>
    <w:rsid w:val="7D89594B"/>
    <w:rsid w:val="7DB008BF"/>
    <w:rsid w:val="7DC46119"/>
    <w:rsid w:val="7DCBB260"/>
    <w:rsid w:val="7DDFAD5B"/>
    <w:rsid w:val="7DE1316F"/>
    <w:rsid w:val="7E3A287F"/>
    <w:rsid w:val="7E473EA8"/>
    <w:rsid w:val="7E4C610E"/>
    <w:rsid w:val="7ED93E46"/>
    <w:rsid w:val="7EDF00A8"/>
    <w:rsid w:val="7EFB0260"/>
    <w:rsid w:val="7F4264C9"/>
    <w:rsid w:val="7F427C3D"/>
    <w:rsid w:val="7F7A336A"/>
    <w:rsid w:val="7FA21DAD"/>
    <w:rsid w:val="7FB16B71"/>
    <w:rsid w:val="7FEC1957"/>
    <w:rsid w:val="7FFBB21F"/>
    <w:rsid w:val="97F76E3F"/>
    <w:rsid w:val="9F1F4917"/>
    <w:rsid w:val="A6FE10E1"/>
    <w:rsid w:val="BBFE6906"/>
    <w:rsid w:val="BEB7B276"/>
    <w:rsid w:val="C03B4229"/>
    <w:rsid w:val="CFDB4E9C"/>
    <w:rsid w:val="DBE6F38E"/>
    <w:rsid w:val="DEFFA329"/>
    <w:rsid w:val="DFEECF52"/>
    <w:rsid w:val="E77A82C3"/>
    <w:rsid w:val="EBE601EF"/>
    <w:rsid w:val="EEEC1806"/>
    <w:rsid w:val="EF831E2B"/>
    <w:rsid w:val="F4FFAD5F"/>
    <w:rsid w:val="F6AD4918"/>
    <w:rsid w:val="F7BB976F"/>
    <w:rsid w:val="F7D62743"/>
    <w:rsid w:val="F87369BD"/>
    <w:rsid w:val="FAF743C7"/>
    <w:rsid w:val="FD6B9FDB"/>
    <w:rsid w:val="FDDE8095"/>
    <w:rsid w:val="FED95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5"/>
    <w:basedOn w:val="1"/>
    <w:next w:val="1"/>
    <w:semiHidden/>
    <w:unhideWhenUsed/>
    <w:qFormat/>
    <w:uiPriority w:val="0"/>
    <w:pPr>
      <w:spacing w:beforeAutospacing="1" w:afterAutospacing="1"/>
      <w:jc w:val="left"/>
      <w:outlineLvl w:val="4"/>
    </w:pPr>
    <w:rPr>
      <w:rFonts w:hint="eastAsia" w:ascii="宋体" w:hAnsi="宋体" w:eastAsia="宋体"/>
      <w:b/>
      <w:bCs/>
      <w:kern w:val="0"/>
      <w:sz w:val="2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FollowedHyperlink"/>
    <w:basedOn w:val="10"/>
    <w:qFormat/>
    <w:uiPriority w:val="0"/>
    <w:rPr>
      <w:color w:val="0000FF"/>
      <w:u w:val="single"/>
    </w:rPr>
  </w:style>
  <w:style w:type="character" w:styleId="14">
    <w:name w:val="Emphasis"/>
    <w:basedOn w:val="10"/>
    <w:qFormat/>
    <w:uiPriority w:val="0"/>
  </w:style>
  <w:style w:type="character" w:styleId="15">
    <w:name w:val="HTML Definition"/>
    <w:basedOn w:val="10"/>
    <w:qFormat/>
    <w:uiPriority w:val="0"/>
  </w:style>
  <w:style w:type="character" w:styleId="16">
    <w:name w:val="HTML Variable"/>
    <w:basedOn w:val="10"/>
    <w:qFormat/>
    <w:uiPriority w:val="0"/>
  </w:style>
  <w:style w:type="character" w:styleId="17">
    <w:name w:val="Hyperlink"/>
    <w:basedOn w:val="10"/>
    <w:qFormat/>
    <w:uiPriority w:val="0"/>
    <w:rPr>
      <w:color w:val="53709A"/>
      <w:u w:val="none"/>
    </w:rPr>
  </w:style>
  <w:style w:type="character" w:styleId="18">
    <w:name w:val="HTML Code"/>
    <w:basedOn w:val="10"/>
    <w:qFormat/>
    <w:uiPriority w:val="0"/>
    <w:rPr>
      <w:rFonts w:hint="default" w:ascii="Consolas" w:hAnsi="Consolas" w:eastAsia="Consolas" w:cs="Consolas"/>
      <w:color w:val="C7254E"/>
      <w:sz w:val="21"/>
      <w:szCs w:val="21"/>
      <w:shd w:val="clear" w:color="auto" w:fill="F9F2F4"/>
    </w:rPr>
  </w:style>
  <w:style w:type="character" w:styleId="19">
    <w:name w:val="HTML Cite"/>
    <w:basedOn w:val="10"/>
    <w:qFormat/>
    <w:uiPriority w:val="0"/>
  </w:style>
  <w:style w:type="character" w:styleId="20">
    <w:name w:val="HTML Keyboard"/>
    <w:basedOn w:val="10"/>
    <w:qFormat/>
    <w:uiPriority w:val="0"/>
    <w:rPr>
      <w:rFonts w:ascii="Consolas" w:hAnsi="Consolas" w:eastAsia="Consolas" w:cs="Consolas"/>
      <w:color w:val="FFFFFF"/>
      <w:sz w:val="21"/>
      <w:szCs w:val="21"/>
      <w:shd w:val="clear" w:color="auto" w:fill="333333"/>
    </w:rPr>
  </w:style>
  <w:style w:type="character" w:styleId="21">
    <w:name w:val="HTML Sample"/>
    <w:basedOn w:val="10"/>
    <w:qFormat/>
    <w:uiPriority w:val="0"/>
    <w:rPr>
      <w:rFonts w:hint="default" w:ascii="Consolas" w:hAnsi="Consolas" w:eastAsia="Consolas" w:cs="Consolas"/>
      <w:sz w:val="21"/>
      <w:szCs w:val="21"/>
    </w:rPr>
  </w:style>
  <w:style w:type="character" w:customStyle="1" w:styleId="22">
    <w:name w:val="批注框文本 Char"/>
    <w:basedOn w:val="10"/>
    <w:link w:val="4"/>
    <w:qFormat/>
    <w:uiPriority w:val="0"/>
    <w:rPr>
      <w:rFonts w:eastAsia="仿宋_GB2312"/>
      <w:kern w:val="2"/>
      <w:sz w:val="18"/>
      <w:szCs w:val="18"/>
    </w:rPr>
  </w:style>
  <w:style w:type="character" w:customStyle="1" w:styleId="23">
    <w:name w:val="button"/>
    <w:basedOn w:val="10"/>
    <w:qFormat/>
    <w:uiPriority w:val="0"/>
  </w:style>
  <w:style w:type="character" w:customStyle="1" w:styleId="24">
    <w:name w:val="button1"/>
    <w:basedOn w:val="10"/>
    <w:qFormat/>
    <w:uiPriority w:val="0"/>
  </w:style>
  <w:style w:type="character" w:customStyle="1" w:styleId="25">
    <w:name w:val="tmpztreemove_arrow"/>
    <w:basedOn w:val="10"/>
    <w:qFormat/>
    <w:uiPriority w:val="0"/>
  </w:style>
  <w:style w:type="character" w:customStyle="1" w:styleId="26">
    <w:name w:val="sz-prst-tbody1"/>
    <w:basedOn w:val="10"/>
    <w:qFormat/>
    <w:uiPriority w:val="0"/>
  </w:style>
  <w:style w:type="character" w:customStyle="1" w:styleId="27">
    <w:name w:val="first-child"/>
    <w:basedOn w:val="10"/>
    <w:qFormat/>
    <w:uiPriority w:val="0"/>
  </w:style>
  <w:style w:type="character" w:customStyle="1" w:styleId="28">
    <w:name w:val="active5"/>
    <w:basedOn w:val="10"/>
    <w:qFormat/>
    <w:uiPriority w:val="0"/>
    <w:rPr>
      <w:bdr w:val="single" w:color="DDDDDD" w:sz="6" w:space="0"/>
      <w:shd w:val="clear" w:color="auto" w:fill="E8E8E8"/>
    </w:rPr>
  </w:style>
  <w:style w:type="character" w:customStyle="1" w:styleId="29">
    <w:name w:val="awsui-toolbar-text"/>
    <w:basedOn w:val="10"/>
    <w:qFormat/>
    <w:uiPriority w:val="0"/>
  </w:style>
  <w:style w:type="character" w:customStyle="1" w:styleId="30">
    <w:name w:val="awsui-toolbar-text1"/>
    <w:basedOn w:val="10"/>
    <w:qFormat/>
    <w:uiPriority w:val="0"/>
  </w:style>
  <w:style w:type="character" w:customStyle="1" w:styleId="31">
    <w:name w:val="button4"/>
    <w:basedOn w:val="10"/>
    <w:qFormat/>
    <w:uiPriority w:val="0"/>
  </w:style>
  <w:style w:type="character" w:customStyle="1" w:styleId="32">
    <w:name w:val="toolbartext"/>
    <w:basedOn w:val="10"/>
    <w:qFormat/>
    <w:uiPriority w:val="0"/>
  </w:style>
  <w:style w:type="character" w:customStyle="1" w:styleId="33">
    <w:name w:val="toolbartext1"/>
    <w:basedOn w:val="10"/>
    <w:qFormat/>
    <w:uiPriority w:val="0"/>
  </w:style>
  <w:style w:type="character" w:customStyle="1" w:styleId="34">
    <w:name w:val="hilite"/>
    <w:basedOn w:val="10"/>
    <w:qFormat/>
    <w:uiPriority w:val="0"/>
    <w:rPr>
      <w:color w:val="FFFFFF"/>
      <w:shd w:val="clear" w:color="auto" w:fill="666677"/>
    </w:rPr>
  </w:style>
  <w:style w:type="character" w:customStyle="1" w:styleId="35">
    <w:name w:val="active6"/>
    <w:basedOn w:val="10"/>
    <w:qFormat/>
    <w:uiPriority w:val="0"/>
    <w:rPr>
      <w:color w:val="00FF00"/>
      <w:shd w:val="clear" w:color="auto" w:fill="000000"/>
    </w:rPr>
  </w:style>
  <w:style w:type="character" w:customStyle="1" w:styleId="36">
    <w:name w:val="hilite6"/>
    <w:basedOn w:val="10"/>
    <w:qFormat/>
    <w:uiPriority w:val="0"/>
    <w:rPr>
      <w:color w:val="FFFFFF"/>
      <w:shd w:val="clear" w:color="auto" w:fill="666677"/>
    </w:rPr>
  </w:style>
  <w:style w:type="paragraph" w:customStyle="1" w:styleId="37">
    <w:name w:val="_Style 29"/>
    <w:basedOn w:val="1"/>
    <w:next w:val="1"/>
    <w:qFormat/>
    <w:uiPriority w:val="0"/>
    <w:pPr>
      <w:pBdr>
        <w:bottom w:val="single" w:color="auto" w:sz="6" w:space="1"/>
      </w:pBdr>
      <w:jc w:val="center"/>
    </w:pPr>
    <w:rPr>
      <w:rFonts w:ascii="Arial" w:eastAsia="宋体"/>
      <w:vanish/>
      <w:sz w:val="16"/>
    </w:rPr>
  </w:style>
  <w:style w:type="paragraph" w:customStyle="1" w:styleId="38">
    <w:name w:val="_Style 30"/>
    <w:basedOn w:val="1"/>
    <w:next w:val="1"/>
    <w:qFormat/>
    <w:uiPriority w:val="0"/>
    <w:pPr>
      <w:pBdr>
        <w:top w:val="single" w:color="auto" w:sz="6" w:space="1"/>
      </w:pBdr>
      <w:jc w:val="center"/>
    </w:pPr>
    <w:rPr>
      <w:rFonts w:ascii="Arial" w:eastAsia="宋体"/>
      <w:vanish/>
      <w:sz w:val="16"/>
    </w:rPr>
  </w:style>
  <w:style w:type="character" w:customStyle="1" w:styleId="39">
    <w:name w:val="prev"/>
    <w:basedOn w:val="10"/>
    <w:qFormat/>
    <w:uiPriority w:val="0"/>
  </w:style>
  <w:style w:type="character" w:customStyle="1" w:styleId="40">
    <w:name w:val="on"/>
    <w:basedOn w:val="10"/>
    <w:qFormat/>
    <w:uiPriority w:val="0"/>
  </w:style>
  <w:style w:type="character" w:customStyle="1" w:styleId="41">
    <w:name w:val="next"/>
    <w:basedOn w:val="10"/>
    <w:qFormat/>
    <w:uiPriority w:val="0"/>
  </w:style>
  <w:style w:type="character" w:customStyle="1" w:styleId="42">
    <w:name w:val="next1"/>
    <w:basedOn w:val="10"/>
    <w:qFormat/>
    <w:uiPriority w:val="0"/>
  </w:style>
  <w:style w:type="character" w:customStyle="1" w:styleId="43">
    <w:name w:val="next2"/>
    <w:basedOn w:val="10"/>
    <w:qFormat/>
    <w:uiPriority w:val="0"/>
  </w:style>
  <w:style w:type="character" w:customStyle="1" w:styleId="44">
    <w:name w:val="hdgd_dw"/>
    <w:basedOn w:val="10"/>
    <w:qFormat/>
    <w:uiPriority w:val="0"/>
  </w:style>
  <w:style w:type="character" w:customStyle="1" w:styleId="45">
    <w:name w:val="cur"/>
    <w:basedOn w:val="10"/>
    <w:qFormat/>
    <w:uiPriority w:val="0"/>
    <w:rPr>
      <w:shd w:val="clear" w:color="auto" w:fill="E9E9E9"/>
    </w:rPr>
  </w:style>
  <w:style w:type="character" w:customStyle="1" w:styleId="46">
    <w:name w:val="cur1"/>
    <w:basedOn w:val="10"/>
    <w:qFormat/>
    <w:uiPriority w:val="0"/>
    <w:rPr>
      <w:shd w:val="clear" w:color="auto" w:fill="E9E9E9"/>
    </w:rPr>
  </w:style>
  <w:style w:type="character" w:customStyle="1" w:styleId="47">
    <w:name w:val="bsharetext"/>
    <w:basedOn w:val="10"/>
    <w:qFormat/>
    <w:uiPriority w:val="0"/>
  </w:style>
  <w:style w:type="character" w:customStyle="1" w:styleId="48">
    <w:name w:val="wrong"/>
    <w:basedOn w:val="10"/>
    <w:qFormat/>
    <w:uiPriority w:val="0"/>
  </w:style>
  <w:style w:type="character" w:customStyle="1" w:styleId="49">
    <w:name w:val="tip"/>
    <w:basedOn w:val="10"/>
    <w:qFormat/>
    <w:uiPriority w:val="0"/>
    <w:rPr>
      <w:color w:val="666666"/>
      <w:sz w:val="18"/>
      <w:szCs w:val="18"/>
    </w:rPr>
  </w:style>
  <w:style w:type="character" w:customStyle="1" w:styleId="50">
    <w:name w:val="ui-jqgrid-resize"/>
    <w:basedOn w:val="10"/>
    <w:qFormat/>
    <w:uiPriority w:val="0"/>
  </w:style>
  <w:style w:type="character" w:customStyle="1" w:styleId="51">
    <w:name w:val="hover6"/>
    <w:basedOn w:val="10"/>
    <w:qFormat/>
    <w:uiPriority w:val="0"/>
    <w:rPr>
      <w:color w:val="FFFFFF"/>
      <w:shd w:val="clear" w:color="auto" w:fill="FF0000"/>
    </w:rPr>
  </w:style>
  <w:style w:type="character" w:customStyle="1" w:styleId="52">
    <w:name w:val="mjgff00jwbq1"/>
    <w:basedOn w:val="10"/>
    <w:qFormat/>
    <w:uiPriority w:val="0"/>
  </w:style>
  <w:style w:type="character" w:customStyle="1" w:styleId="53">
    <w:name w:val="f8076w61"/>
    <w:basedOn w:val="10"/>
    <w:qFormat/>
    <w:uiPriority w:val="0"/>
  </w:style>
  <w:style w:type="character" w:customStyle="1" w:styleId="54">
    <w:name w:val="z2gnfc1"/>
    <w:basedOn w:val="10"/>
    <w:qFormat/>
    <w:uiPriority w:val="0"/>
  </w:style>
  <w:style w:type="character" w:customStyle="1" w:styleId="55">
    <w:name w:val="l41vu51"/>
    <w:basedOn w:val="10"/>
    <w:qFormat/>
    <w:uiPriority w:val="0"/>
  </w:style>
  <w:style w:type="character" w:customStyle="1" w:styleId="56">
    <w:name w:val="gmogwnm1"/>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8482</Words>
  <Characters>8729</Characters>
  <Lines>68</Lines>
  <Paragraphs>19</Paragraphs>
  <TotalTime>64</TotalTime>
  <ScaleCrop>false</ScaleCrop>
  <LinksUpToDate>false</LinksUpToDate>
  <CharactersWithSpaces>8785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2021-03-05T00:42:00Z</dcterms:created>
  <dc:creator>Administrator</dc:creator>
  <cp:lastModifiedBy>hss</cp:lastModifiedBy>
  <cp:lastPrinted>2023-05-12T08:07:00Z</cp:lastPrinted>
  <dcterms:modified xsi:type="dcterms:W3CDTF">2023-05-15T10:09:00Z</dcterms:modified>
  <dc:title>×××〔20XX〕×号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7170E00A8DFA414CA18A46C450B243AE_13</vt:lpwstr>
  </property>
</Properties>
</file>